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6c6a773dc88c1643b03dceb75783da67711f73d"/>
    <w:p>
      <w:pPr>
        <w:pStyle w:val="Heading1"/>
      </w:pPr>
      <w:r>
        <w:t xml:space="preserve">TREATMENT006 — FIRESTORE SECURITY RULES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de seguridad del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 </w:t>
      </w:r>
      <w:r>
        <w:t xml:space="preserve">mediante Firestore Security Rules.</w:t>
      </w:r>
    </w:p>
    <w:p>
      <w:pPr>
        <w:pStyle w:val="BodyText"/>
      </w:pPr>
      <w:r>
        <w:t xml:space="preserve">Las reglas protegerán el catálogo de tratamientos y complementarán las validaciones realizadas por Cloud Functions.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Colección</w:t>
      </w:r>
      <w:r>
        <w:t xml:space="preserve"> </w:t>
      </w:r>
      <w:r>
        <w:rPr>
          <w:rStyle w:val="VerbatimChar"/>
        </w:rPr>
        <w:t xml:space="preserve">treatments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Subcolecciones.</w:t>
      </w:r>
    </w:p>
    <w:p>
      <w:pPr>
        <w:pStyle w:val="Compact"/>
        <w:numPr>
          <w:ilvl w:val="0"/>
          <w:numId w:val="1001"/>
        </w:numPr>
      </w:pPr>
      <w:r>
        <w:t xml:space="preserve">Consultas.</w:t>
      </w:r>
    </w:p>
    <w:p>
      <w:pPr>
        <w:pStyle w:val="Compact"/>
        <w:numPr>
          <w:ilvl w:val="0"/>
          <w:numId w:val="1001"/>
        </w:numPr>
      </w:pPr>
      <w:r>
        <w:t xml:space="preserve">Lecturas.</w:t>
      </w:r>
    </w:p>
    <w:p>
      <w:pPr>
        <w:pStyle w:val="Compact"/>
        <w:numPr>
          <w:ilvl w:val="0"/>
          <w:numId w:val="1001"/>
        </w:numPr>
      </w:pPr>
      <w:r>
        <w:t xml:space="preserve">Escrituras.</w:t>
      </w:r>
    </w:p>
    <w:p>
      <w:pPr>
        <w:pStyle w:val="Compact"/>
        <w:numPr>
          <w:ilvl w:val="0"/>
          <w:numId w:val="1001"/>
        </w:numPr>
      </w:pPr>
      <w:r>
        <w:t xml:space="preserve">Eliminación lógica.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Las reglas deberán cumplir:</w:t>
      </w:r>
    </w:p>
    <w:p>
      <w:pPr>
        <w:pStyle w:val="Compact"/>
        <w:numPr>
          <w:ilvl w:val="0"/>
          <w:numId w:val="1002"/>
        </w:numPr>
      </w:pPr>
      <w:r>
        <w:t xml:space="preserve">Least Privilege.</w:t>
      </w:r>
    </w:p>
    <w:p>
      <w:pPr>
        <w:pStyle w:val="Compact"/>
        <w:numPr>
          <w:ilvl w:val="0"/>
          <w:numId w:val="1002"/>
        </w:numPr>
      </w:pPr>
      <w:r>
        <w:t xml:space="preserve">Zero Trust.</w:t>
      </w:r>
    </w:p>
    <w:p>
      <w:pPr>
        <w:pStyle w:val="Compact"/>
        <w:numPr>
          <w:ilvl w:val="0"/>
          <w:numId w:val="1002"/>
        </w:numPr>
      </w:pPr>
      <w:r>
        <w:t xml:space="preserve">Multi-Tenant.</w:t>
      </w:r>
    </w:p>
    <w:p>
      <w:pPr>
        <w:pStyle w:val="Compact"/>
        <w:numPr>
          <w:ilvl w:val="0"/>
          <w:numId w:val="1002"/>
        </w:numPr>
      </w:pPr>
      <w:r>
        <w:t xml:space="preserve">Defense in Depth.</w:t>
      </w:r>
    </w:p>
    <w:p>
      <w:pPr>
        <w:pStyle w:val="Compact"/>
        <w:numPr>
          <w:ilvl w:val="0"/>
          <w:numId w:val="1002"/>
        </w:numPr>
      </w:pPr>
      <w:r>
        <w:t xml:space="preserve">Fail Secure.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t xml:space="preserve">```text id=</w:t>
      </w:r>
      <w:r>
        <w:t xml:space="preserve">“treatment-security”</w:t>
      </w:r>
      <w:r>
        <w:t xml:space="preserve"> </w:t>
      </w:r>
      <w:r>
        <w:t xml:space="preserve">Cliente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Firebase 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Firestore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Cloud Functions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Las Security Rules controlan el acceso.</w:t>
      </w:r>
      <w:r>
        <w:br/>
      </w:r>
      <w:r>
        <w:br/>
      </w:r>
      <w:r>
        <w:rPr>
          <w:rStyle w:val="VerbatimChar"/>
        </w:rPr>
        <w:t xml:space="preserve">Las Cloud Functions controlan el negocio.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Colección</w:t>
      </w:r>
      <w:r>
        <w:br/>
      </w:r>
      <w:r>
        <w:br/>
      </w:r>
      <w:r>
        <w:rPr>
          <w:rStyle w:val="VerbatimChar"/>
        </w:rPr>
        <w:t xml:space="preserve">```text id="treatment-path"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└── {organizationId}</w:t>
      </w:r>
      <w:r>
        <w:br/>
      </w:r>
      <w:r>
        <w:rPr>
          <w:rStyle w:val="VerbatimChar"/>
        </w:rPr>
        <w:t xml:space="preserve">    └── treatments</w:t>
      </w:r>
      <w:r>
        <w:br/>
      </w:r>
      <w:r>
        <w:rPr>
          <w:rStyle w:val="VerbatimChar"/>
        </w:rPr>
        <w:t xml:space="preserve">        └── {treatmentId}</w:t>
      </w:r>
    </w:p>
    <w:p>
      <w:pPr>
        <w:pStyle w:val="FirstParagraph"/>
      </w:pPr>
      <w:r>
        <w:t xml:space="preserve">Todo acceso deberá realizarse dentro del contexto de una organización.</w:t>
      </w:r>
    </w:p>
    <w:p>
      <w:r>
        <w:pict>
          <v:rect style="width:0;height:1.5pt" o:hralign="center" o:hrstd="t" o:hr="t"/>
        </w:pict>
      </w:r>
    </w:p>
    <w:bookmarkEnd w:id="25"/>
    <w:bookmarkStart w:id="28" w:name="lecturas"/>
    <w:p>
      <w:pPr>
        <w:pStyle w:val="Heading1"/>
      </w:pPr>
      <w:r>
        <w:t xml:space="preserve">Lecturas</w:t>
      </w:r>
    </w:p>
    <w:bookmarkStart w:id="26" w:name="obtener-tratamiento"/>
    <w:p>
      <w:pPr>
        <w:pStyle w:val="Heading2"/>
      </w:pPr>
      <w:r>
        <w:t xml:space="preserve">Obtener Tratamiento</w:t>
      </w:r>
    </w:p>
    <w:p>
      <w:pPr>
        <w:pStyle w:val="FirstParagraph"/>
      </w:pPr>
      <w:r>
        <w:t xml:space="preserve">Permitido únicamente cuando:</w:t>
      </w:r>
    </w:p>
    <w:p>
      <w:pPr>
        <w:pStyle w:val="Compact"/>
        <w:numPr>
          <w:ilvl w:val="0"/>
          <w:numId w:val="1003"/>
        </w:numPr>
      </w:pPr>
      <w:r>
        <w:t xml:space="preserve">Usuario autenticado.</w:t>
      </w:r>
    </w:p>
    <w:p>
      <w:pPr>
        <w:pStyle w:val="Compact"/>
        <w:numPr>
          <w:ilvl w:val="0"/>
          <w:numId w:val="1003"/>
        </w:numPr>
      </w:pPr>
      <w:r>
        <w:t xml:space="preserve">Organización válida.</w:t>
      </w:r>
    </w:p>
    <w:p>
      <w:pPr>
        <w:pStyle w:val="Compact"/>
        <w:numPr>
          <w:ilvl w:val="0"/>
          <w:numId w:val="1003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treatments.read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onsultar-catálogo"/>
    <w:p>
      <w:pPr>
        <w:pStyle w:val="Heading2"/>
      </w:pPr>
      <w:r>
        <w:t xml:space="preserve">Consultar Catálogo</w:t>
      </w:r>
    </w:p>
    <w:p>
      <w:pPr>
        <w:pStyle w:val="FirstParagraph"/>
      </w:pPr>
      <w:r>
        <w:t xml:space="preserve">Permitido cuando:</w:t>
      </w:r>
    </w:p>
    <w:p>
      <w:pPr>
        <w:pStyle w:val="Compact"/>
        <w:numPr>
          <w:ilvl w:val="0"/>
          <w:numId w:val="1004"/>
        </w:numPr>
      </w:pPr>
      <w:r>
        <w:t xml:space="preserve">Usuario autenticado.</w:t>
      </w:r>
    </w:p>
    <w:p>
      <w:pPr>
        <w:pStyle w:val="Compact"/>
        <w:numPr>
          <w:ilvl w:val="0"/>
          <w:numId w:val="1004"/>
        </w:numPr>
      </w:pPr>
      <w:r>
        <w:t xml:space="preserve">Organización válida.</w:t>
      </w:r>
    </w:p>
    <w:p>
      <w:pPr>
        <w:pStyle w:val="Compact"/>
        <w:numPr>
          <w:ilvl w:val="0"/>
          <w:numId w:val="1004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treatments.read</w:t>
      </w:r>
      <w:r>
        <w:t xml:space="preserve">.</w:t>
      </w:r>
    </w:p>
    <w:p>
      <w:pPr>
        <w:pStyle w:val="FirstParagraph"/>
      </w:pPr>
      <w:r>
        <w:t xml:space="preserve">Las consultas deberán utilizar índices aprobados.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scrituras"/>
    <w:p>
      <w:pPr>
        <w:pStyle w:val="Heading1"/>
      </w:pPr>
      <w:r>
        <w:t xml:space="preserve">Escrituras</w:t>
      </w:r>
    </w:p>
    <w:bookmarkStart w:id="29" w:name="crear"/>
    <w:p>
      <w:pPr>
        <w:pStyle w:val="Heading2"/>
      </w:pPr>
      <w:r>
        <w:t xml:space="preserve">Crear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5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createTreatment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actualizar"/>
    <w:p>
      <w:pPr>
        <w:pStyle w:val="Heading2"/>
      </w:pPr>
      <w:r>
        <w:t xml:space="preserve">Actualizar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6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updateTreatment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activar"/>
    <w:p>
      <w:pPr>
        <w:pStyle w:val="Heading2"/>
      </w:pPr>
      <w:r>
        <w:t xml:space="preserve">Activar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7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activateTreatment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desactivar"/>
    <w:p>
      <w:pPr>
        <w:pStyle w:val="Heading2"/>
      </w:pPr>
      <w:r>
        <w:t xml:space="preserve">Desactivar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8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deactivateTreatment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archivar"/>
    <w:p>
      <w:pPr>
        <w:pStyle w:val="Heading2"/>
      </w:pPr>
      <w:r>
        <w:t xml:space="preserve">Archivar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9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archiveTreatment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gestionar-variantes"/>
    <w:p>
      <w:pPr>
        <w:pStyle w:val="Heading2"/>
      </w:pPr>
      <w:r>
        <w:t xml:space="preserve">Gestionar Variantes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0"/>
        </w:numPr>
      </w:pPr>
      <w:r>
        <w:t xml:space="preserve">Cloud Functions autorizadas del dominio.</w:t>
      </w:r>
    </w:p>
    <w:p>
      <w:r>
        <w:pict>
          <v:rect style="width:0;height:1.5pt" o:hralign="center" o:hrstd="t" o:hr="t"/>
        </w:pict>
      </w:r>
    </w:p>
    <w:bookmarkEnd w:id="34"/>
    <w:bookmarkStart w:id="35" w:name="versionar-protocolo"/>
    <w:p>
      <w:pPr>
        <w:pStyle w:val="Heading2"/>
      </w:pPr>
      <w:r>
        <w:t xml:space="preserve">Versionar Protocolo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1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versionProtocol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ampos-protegidos"/>
    <w:p>
      <w:pPr>
        <w:pStyle w:val="Heading1"/>
      </w:pPr>
      <w:r>
        <w:t xml:space="preserve">Campos Protegidos</w:t>
      </w:r>
    </w:p>
    <w:p>
      <w:pPr>
        <w:pStyle w:val="FirstParagraph"/>
      </w:pPr>
      <w:r>
        <w:t xml:space="preserve">Nunca podrán modificarse directamente: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organizationId</w:t>
      </w:r>
    </w:p>
    <w:p>
      <w:pPr>
        <w:pStyle w:val="Compact"/>
        <w:numPr>
          <w:ilvl w:val="0"/>
          <w:numId w:val="1012"/>
        </w:numPr>
      </w:pPr>
      <w:r>
        <w:t xml:space="preserve">createdAt</w:t>
      </w:r>
    </w:p>
    <w:p>
      <w:pPr>
        <w:pStyle w:val="Compact"/>
        <w:numPr>
          <w:ilvl w:val="0"/>
          <w:numId w:val="1012"/>
        </w:numPr>
      </w:pPr>
      <w:r>
        <w:t xml:space="preserve">createdBy</w:t>
      </w:r>
    </w:p>
    <w:p>
      <w:pPr>
        <w:pStyle w:val="Compact"/>
        <w:numPr>
          <w:ilvl w:val="0"/>
          <w:numId w:val="1012"/>
        </w:numPr>
      </w:pPr>
      <w:r>
        <w:t xml:space="preserve">protocolVersion</w:t>
      </w:r>
    </w:p>
    <w:p>
      <w:pPr>
        <w:pStyle w:val="FirstParagraph"/>
      </w:pPr>
      <w:r>
        <w:t xml:space="preserve">Estos campos solo podrán modificarse mediante procesos autorizados.</w:t>
      </w:r>
    </w:p>
    <w:p>
      <w:r>
        <w:pict>
          <v:rect style="width:0;height:1.5pt" o:hralign="center" o:hrstd="t" o:hr="t"/>
        </w:pict>
      </w:r>
    </w:p>
    <w:bookmarkEnd w:id="37"/>
    <w:bookmarkStart w:id="38" w:name="validaciones"/>
    <w:p>
      <w:pPr>
        <w:pStyle w:val="Heading1"/>
      </w:pPr>
      <w:r>
        <w:t xml:space="preserve">Validaciones</w:t>
      </w:r>
    </w:p>
    <w:p>
      <w:pPr>
        <w:pStyle w:val="FirstParagraph"/>
      </w:pPr>
      <w:r>
        <w:t xml:space="preserve">Las reglas verificarán:</w:t>
      </w:r>
    </w:p>
    <w:p>
      <w:pPr>
        <w:pStyle w:val="Compact"/>
        <w:numPr>
          <w:ilvl w:val="0"/>
          <w:numId w:val="1013"/>
        </w:numPr>
      </w:pPr>
      <w:r>
        <w:t xml:space="preserve">Usuario autenticado.</w:t>
      </w:r>
    </w:p>
    <w:p>
      <w:pPr>
        <w:pStyle w:val="Compact"/>
        <w:numPr>
          <w:ilvl w:val="0"/>
          <w:numId w:val="1013"/>
        </w:numPr>
      </w:pPr>
      <w:r>
        <w:t xml:space="preserve">Organización.</w:t>
      </w:r>
    </w:p>
    <w:p>
      <w:pPr>
        <w:pStyle w:val="Compact"/>
        <w:numPr>
          <w:ilvl w:val="0"/>
          <w:numId w:val="1013"/>
        </w:numPr>
      </w:pPr>
      <w:r>
        <w:t xml:space="preserve">Permisos.</w:t>
      </w:r>
    </w:p>
    <w:p>
      <w:pPr>
        <w:pStyle w:val="Compact"/>
        <w:numPr>
          <w:ilvl w:val="0"/>
          <w:numId w:val="1013"/>
        </w:numPr>
      </w:pPr>
      <w:r>
        <w:t xml:space="preserve">Existencia del documento cuando corresponda.</w:t>
      </w:r>
    </w:p>
    <w:p>
      <w:pPr>
        <w:pStyle w:val="Compact"/>
        <w:numPr>
          <w:ilvl w:val="0"/>
          <w:numId w:val="1013"/>
        </w:numPr>
      </w:pPr>
      <w:r>
        <w:t xml:space="preserve">Integridad de la ruta.</w:t>
      </w:r>
    </w:p>
    <w:p>
      <w:pPr>
        <w:pStyle w:val="FirstParagraph"/>
      </w:pPr>
      <w:r>
        <w:t xml:space="preserve">No validarán reglas clínicas ni estados del tratamiento.</w:t>
      </w:r>
    </w:p>
    <w:p>
      <w:r>
        <w:pict>
          <v:rect style="width:0;height:1.5pt" o:hralign="center" o:hrstd="t" o:hr="t"/>
        </w:pict>
      </w:r>
    </w:p>
    <w:bookmarkEnd w:id="38"/>
    <w:bookmarkStart w:id="39" w:name="multi-tenant"/>
    <w:p>
      <w:pPr>
        <w:pStyle w:val="Heading1"/>
      </w:pPr>
      <w:r>
        <w:t xml:space="preserve">Multi-Tenant</w:t>
      </w:r>
    </w:p>
    <w:p>
      <w:pPr>
        <w:pStyle w:val="FirstParagraph"/>
      </w:pPr>
      <w:r>
        <w:t xml:space="preserve">Todo acceso deberá comprobar:</w:t>
      </w:r>
    </w:p>
    <w:p>
      <w:pPr>
        <w:pStyle w:val="Compact"/>
        <w:numPr>
          <w:ilvl w:val="0"/>
          <w:numId w:val="1014"/>
        </w:numPr>
      </w:pPr>
      <w:r>
        <w:t xml:space="preserve">Organización del usuario.</w:t>
      </w:r>
    </w:p>
    <w:p>
      <w:pPr>
        <w:pStyle w:val="Compact"/>
        <w:numPr>
          <w:ilvl w:val="0"/>
          <w:numId w:val="1014"/>
        </w:numPr>
      </w:pPr>
      <w:r>
        <w:t xml:space="preserve">Organización del documento.</w:t>
      </w:r>
    </w:p>
    <w:p>
      <w:pPr>
        <w:pStyle w:val="FirstParagraph"/>
      </w:pPr>
      <w:r>
        <w:t xml:space="preserve">No se permitirá acceso entre organizaciones.</w:t>
      </w:r>
    </w:p>
    <w:p>
      <w:r>
        <w:pict>
          <v:rect style="width:0;height:1.5pt" o:hralign="center" o:hrstd="t" o:hr="t"/>
        </w:pict>
      </w:r>
    </w:p>
    <w:bookmarkEnd w:id="39"/>
    <w:bookmarkStart w:id="40" w:name="subcolecciones"/>
    <w:p>
      <w:pPr>
        <w:pStyle w:val="Heading1"/>
      </w:pPr>
      <w:r>
        <w:t xml:space="preserve">Subcolecciones</w:t>
      </w:r>
    </w:p>
    <w:p>
      <w:pPr>
        <w:pStyle w:val="FirstParagraph"/>
      </w:pPr>
      <w:r>
        <w:t xml:space="preserve">Aplicarán las restricciones del documento principal y podrán definir reglas adicionales cuando sea necesario.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5"/>
        </w:numPr>
      </w:pPr>
      <w:r>
        <w:t xml:space="preserve">media</w:t>
      </w:r>
    </w:p>
    <w:p>
      <w:pPr>
        <w:pStyle w:val="Compact"/>
        <w:numPr>
          <w:ilvl w:val="0"/>
          <w:numId w:val="1015"/>
        </w:numPr>
      </w:pPr>
      <w:r>
        <w:t xml:space="preserve">documents</w:t>
      </w:r>
    </w:p>
    <w:p>
      <w:pPr>
        <w:pStyle w:val="Compact"/>
        <w:numPr>
          <w:ilvl w:val="0"/>
          <w:numId w:val="1015"/>
        </w:numPr>
      </w:pPr>
      <w:r>
        <w:t xml:space="preserve">audit</w:t>
      </w:r>
    </w:p>
    <w:p>
      <w:pPr>
        <w:pStyle w:val="Compact"/>
        <w:numPr>
          <w:ilvl w:val="0"/>
          <w:numId w:val="1015"/>
        </w:numPr>
      </w:pPr>
      <w:r>
        <w:t xml:space="preserve">timeline</w:t>
      </w:r>
    </w:p>
    <w:p>
      <w:r>
        <w:pict>
          <v:rect style="width:0;height:1.5pt" o:hralign="center" o:hrstd="t" o:hr="t"/>
        </w:pict>
      </w:r>
    </w:p>
    <w:bookmarkEnd w:id="40"/>
    <w:bookmarkStart w:id="41" w:name="eliminación-física"/>
    <w:p>
      <w:pPr>
        <w:pStyle w:val="Heading1"/>
      </w:pPr>
      <w:r>
        <w:t xml:space="preserve">Eliminación Física</w:t>
      </w:r>
    </w:p>
    <w:p>
      <w:pPr>
        <w:pStyle w:val="FirstParagraph"/>
      </w:pPr>
      <w:r>
        <w:t xml:space="preserve">No permitida desde el cliente.</w:t>
      </w:r>
    </w:p>
    <w:p>
      <w:pPr>
        <w:pStyle w:val="BodyText"/>
      </w:pPr>
      <w:r>
        <w:t xml:space="preserve">El tratamiento permanecerá disponible para:</w:t>
      </w:r>
    </w:p>
    <w:p>
      <w:pPr>
        <w:pStyle w:val="Compact"/>
        <w:numPr>
          <w:ilvl w:val="0"/>
          <w:numId w:val="1016"/>
        </w:numPr>
      </w:pPr>
      <w:r>
        <w:t xml:space="preserve">Auditoría.</w:t>
      </w:r>
    </w:p>
    <w:p>
      <w:pPr>
        <w:pStyle w:val="Compact"/>
        <w:numPr>
          <w:ilvl w:val="0"/>
          <w:numId w:val="1016"/>
        </w:numPr>
      </w:pPr>
      <w:r>
        <w:t xml:space="preserve">Historial.</w:t>
      </w:r>
    </w:p>
    <w:p>
      <w:pPr>
        <w:pStyle w:val="Compact"/>
        <w:numPr>
          <w:ilvl w:val="0"/>
          <w:numId w:val="1016"/>
        </w:numPr>
      </w:pPr>
      <w:r>
        <w:t xml:space="preserve">Analítica.</w:t>
      </w:r>
    </w:p>
    <w:p>
      <w:r>
        <w:pict>
          <v:rect style="width:0;height:1.5pt" o:hralign="center" o:hrstd="t" o:hr="t"/>
        </w:pict>
      </w:r>
    </w:p>
    <w:bookmarkEnd w:id="41"/>
    <w:bookmarkStart w:id="42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Las operaciones autorizadas deberán registrarse mediante:</w:t>
      </w:r>
    </w:p>
    <w:p>
      <w:pPr>
        <w:pStyle w:val="Compact"/>
        <w:numPr>
          <w:ilvl w:val="0"/>
          <w:numId w:val="1017"/>
        </w:numPr>
      </w:pPr>
      <w:r>
        <w:t xml:space="preserve">Cloud Functions.</w:t>
      </w:r>
    </w:p>
    <w:p>
      <w:pPr>
        <w:pStyle w:val="Compact"/>
        <w:numPr>
          <w:ilvl w:val="0"/>
          <w:numId w:val="1017"/>
        </w:numPr>
      </w:pPr>
      <w:r>
        <w:t xml:space="preserve">Sistema de observabilidad.</w:t>
      </w:r>
    </w:p>
    <w:p>
      <w:pPr>
        <w:pStyle w:val="FirstParagraph"/>
      </w:pPr>
      <w:r>
        <w:t xml:space="preserve">Las Security Rules no generan auditoría funcional.</w:t>
      </w:r>
    </w:p>
    <w:p>
      <w:r>
        <w:pict>
          <v:rect style="width:0;height:1.5pt" o:hralign="center" o:hrstd="t" o:hr="t"/>
        </w:pict>
      </w:r>
    </w:p>
    <w:bookmarkEnd w:id="42"/>
    <w:bookmarkStart w:id="45" w:name="pruebas"/>
    <w:p>
      <w:pPr>
        <w:pStyle w:val="Heading1"/>
      </w:pPr>
      <w:r>
        <w:t xml:space="preserve">Pruebas</w:t>
      </w:r>
    </w:p>
    <w:p>
      <w:pPr>
        <w:pStyle w:val="FirstParagraph"/>
      </w:pPr>
      <w:r>
        <w:t xml:space="preserve">Se crearán pruebas automáticas para:</w:t>
      </w:r>
    </w:p>
    <w:bookmarkStart w:id="43" w:name="accesos-permitidos"/>
    <w:p>
      <w:pPr>
        <w:pStyle w:val="Heading2"/>
      </w:pPr>
      <w:r>
        <w:t xml:space="preserve">Accesos Permitidos</w:t>
      </w:r>
    </w:p>
    <w:p>
      <w:pPr>
        <w:pStyle w:val="Compact"/>
        <w:numPr>
          <w:ilvl w:val="0"/>
          <w:numId w:val="1018"/>
        </w:numPr>
      </w:pPr>
      <w:r>
        <w:t xml:space="preserve">Lectura autorizada.</w:t>
      </w:r>
    </w:p>
    <w:p>
      <w:pPr>
        <w:pStyle w:val="Compact"/>
        <w:numPr>
          <w:ilvl w:val="0"/>
          <w:numId w:val="1018"/>
        </w:numPr>
      </w:pPr>
      <w:r>
        <w:t xml:space="preserve">Consulta autorizada.</w:t>
      </w:r>
    </w:p>
    <w:p>
      <w:r>
        <w:pict>
          <v:rect style="width:0;height:1.5pt" o:hralign="center" o:hrstd="t" o:hr="t"/>
        </w:pict>
      </w:r>
    </w:p>
    <w:bookmarkEnd w:id="43"/>
    <w:bookmarkStart w:id="44" w:name="accesos-denegados"/>
    <w:p>
      <w:pPr>
        <w:pStyle w:val="Heading2"/>
      </w:pPr>
      <w:r>
        <w:t xml:space="preserve">Accesos Denegados</w:t>
      </w:r>
    </w:p>
    <w:p>
      <w:pPr>
        <w:pStyle w:val="Compact"/>
        <w:numPr>
          <w:ilvl w:val="0"/>
          <w:numId w:val="1019"/>
        </w:numPr>
      </w:pPr>
      <w:r>
        <w:t xml:space="preserve">Usuario sin autenticar.</w:t>
      </w:r>
    </w:p>
    <w:p>
      <w:pPr>
        <w:pStyle w:val="Compact"/>
        <w:numPr>
          <w:ilvl w:val="0"/>
          <w:numId w:val="1019"/>
        </w:numPr>
      </w:pPr>
      <w:r>
        <w:t xml:space="preserve">Organización incorrecta.</w:t>
      </w:r>
    </w:p>
    <w:p>
      <w:pPr>
        <w:pStyle w:val="Compact"/>
        <w:numPr>
          <w:ilvl w:val="0"/>
          <w:numId w:val="1019"/>
        </w:numPr>
      </w:pPr>
      <w:r>
        <w:t xml:space="preserve">Permisos insuficientes.</w:t>
      </w:r>
    </w:p>
    <w:p>
      <w:pPr>
        <w:pStyle w:val="Compact"/>
        <w:numPr>
          <w:ilvl w:val="0"/>
          <w:numId w:val="1019"/>
        </w:numPr>
      </w:pPr>
      <w:r>
        <w:t xml:space="preserve">Escrituras directas.</w:t>
      </w:r>
    </w:p>
    <w:p>
      <w:pPr>
        <w:pStyle w:val="Compact"/>
        <w:numPr>
          <w:ilvl w:val="0"/>
          <w:numId w:val="1019"/>
        </w:numPr>
      </w:pPr>
      <w:r>
        <w:t xml:space="preserve">Modificación de campos protegidos.</w:t>
      </w:r>
    </w:p>
    <w:p>
      <w:pPr>
        <w:pStyle w:val="FirstParagraph"/>
      </w:pPr>
      <w:r>
        <w:t xml:space="preserve">Todas las pruebas se ejecutarán con Firebase Emulator Suite.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20"/>
        </w:numPr>
      </w:pPr>
      <w:r>
        <w:t xml:space="preserve">Reglas demasiado permisivas.</w:t>
      </w:r>
    </w:p>
    <w:p>
      <w:pPr>
        <w:pStyle w:val="Compact"/>
        <w:numPr>
          <w:ilvl w:val="0"/>
          <w:numId w:val="1020"/>
        </w:numPr>
      </w:pPr>
      <w:r>
        <w:t xml:space="preserve">Acceso cruzado entre organizaciones.</w:t>
      </w:r>
    </w:p>
    <w:p>
      <w:pPr>
        <w:pStyle w:val="Compact"/>
        <w:numPr>
          <w:ilvl w:val="0"/>
          <w:numId w:val="1020"/>
        </w:numPr>
      </w:pPr>
      <w:r>
        <w:t xml:space="preserve">Escrituras directas.</w:t>
      </w:r>
    </w:p>
    <w:p>
      <w:pPr>
        <w:pStyle w:val="Compact"/>
        <w:numPr>
          <w:ilvl w:val="0"/>
          <w:numId w:val="1020"/>
        </w:numPr>
      </w:pPr>
      <w:r>
        <w:t xml:space="preserve">Duplicación de validaciones.</w:t>
      </w:r>
    </w:p>
    <w:p>
      <w:pPr>
        <w:pStyle w:val="FirstParagraph"/>
      </w:pPr>
      <w:r>
        <w:t xml:space="preserve">Toda modificación requerirá revisión arquitectónica.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1"/>
        </w:numPr>
      </w:pPr>
      <w:r>
        <w:t xml:space="preserve">Lecturas protegidas.</w:t>
      </w:r>
    </w:p>
    <w:p>
      <w:pPr>
        <w:pStyle w:val="Compact"/>
        <w:numPr>
          <w:ilvl w:val="0"/>
          <w:numId w:val="1021"/>
        </w:numPr>
      </w:pPr>
      <w:r>
        <w:t xml:space="preserve">Escrituras restringidas.</w:t>
      </w:r>
    </w:p>
    <w:p>
      <w:pPr>
        <w:pStyle w:val="Compact"/>
        <w:numPr>
          <w:ilvl w:val="0"/>
          <w:numId w:val="1021"/>
        </w:numPr>
      </w:pPr>
      <w:r>
        <w:t xml:space="preserve">Multi-Tenant validado.</w:t>
      </w:r>
    </w:p>
    <w:p>
      <w:pPr>
        <w:pStyle w:val="Compact"/>
        <w:numPr>
          <w:ilvl w:val="0"/>
          <w:numId w:val="1021"/>
        </w:numPr>
      </w:pPr>
      <w:r>
        <w:t xml:space="preserve">Campos protegidos identificados.</w:t>
      </w:r>
    </w:p>
    <w:p>
      <w:pPr>
        <w:pStyle w:val="Compact"/>
        <w:numPr>
          <w:ilvl w:val="0"/>
          <w:numId w:val="1021"/>
        </w:numPr>
      </w:pPr>
      <w:r>
        <w:t xml:space="preserve">Integración con Cloud Functions definida.</w:t>
      </w:r>
    </w:p>
    <w:p>
      <w:pPr>
        <w:pStyle w:val="Compact"/>
        <w:numPr>
          <w:ilvl w:val="0"/>
          <w:numId w:val="1021"/>
        </w:numPr>
      </w:pPr>
      <w:r>
        <w:t xml:space="preserve">Estrategia de pruebas documentada.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2"/>
        </w:numPr>
      </w:pPr>
      <w:r>
        <w:t xml:space="preserve">TREATMENT002_TREATMENT_DATA_MODEL.md</w:t>
      </w:r>
    </w:p>
    <w:p>
      <w:pPr>
        <w:pStyle w:val="Compact"/>
        <w:numPr>
          <w:ilvl w:val="0"/>
          <w:numId w:val="1022"/>
        </w:numPr>
      </w:pPr>
      <w:r>
        <w:t xml:space="preserve">TREATMENT005_CLOUD_FUNCTIONS_API_SPECIFICATION.md</w:t>
      </w:r>
    </w:p>
    <w:p>
      <w:pPr>
        <w:pStyle w:val="Compact"/>
        <w:numPr>
          <w:ilvl w:val="0"/>
          <w:numId w:val="1022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22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22"/>
        </w:numPr>
      </w:pPr>
      <w:r>
        <w:t xml:space="preserve">FB002_FIRESTORE_REPOSITORY_PATTERN.md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Security Rules del dominio Treatments.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2026-06-30T17:19:54Z</dcterms:created>
  <dcterms:modified xsi:type="dcterms:W3CDTF">2026-06-30T17:19:54Z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