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Xfb46056291f6c393bef1b60520db1e6f56199c3"/>
    <w:p>
      <w:pPr>
        <w:pStyle w:val="Heading1"/>
      </w:pPr>
      <w:r>
        <w:t xml:space="preserve">CUSTOMER006 — FIRESTORE SECURITY RULES SPECIFICATION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estrategia de seguridad para el dominio</w:t>
      </w:r>
      <w:r>
        <w:t xml:space="preserve"> </w:t>
      </w:r>
      <w:r>
        <w:rPr>
          <w:b/>
          <w:bCs/>
        </w:rPr>
        <w:t xml:space="preserve">Customers</w:t>
      </w:r>
      <w:r>
        <w:t xml:space="preserve"> </w:t>
      </w:r>
      <w:r>
        <w:t xml:space="preserve">mediante Firestore Security Rules.</w:t>
      </w:r>
    </w:p>
    <w:p>
      <w:pPr>
        <w:pStyle w:val="BodyText"/>
      </w:pPr>
      <w:r>
        <w:t xml:space="preserve">Las reglas deberán proteger los datos del dominio, impedir accesos no autorizados y complementar las validaciones realizadas por Cloud Functions.</w:t>
      </w:r>
    </w:p>
    <w:p>
      <w:pPr>
        <w:pStyle w:val="BodyText"/>
      </w:pPr>
      <w:r>
        <w:t xml:space="preserve">Las Security Rules</w:t>
      </w:r>
      <w:r>
        <w:t xml:space="preserve"> </w:t>
      </w:r>
      <w:r>
        <w:rPr>
          <w:b/>
          <w:bCs/>
        </w:rPr>
        <w:t xml:space="preserve">no sustituyen</w:t>
      </w:r>
      <w:r>
        <w:t xml:space="preserve"> </w:t>
      </w:r>
      <w:r>
        <w:t xml:space="preserve">la lógica de negocio del backend.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Aplica a:</w:t>
      </w:r>
    </w:p>
    <w:p>
      <w:pPr>
        <w:pStyle w:val="Compact"/>
        <w:numPr>
          <w:ilvl w:val="0"/>
          <w:numId w:val="1001"/>
        </w:numPr>
      </w:pPr>
      <w:r>
        <w:t xml:space="preserve">Colección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Subcolecciones del dominio.</w:t>
      </w:r>
    </w:p>
    <w:p>
      <w:pPr>
        <w:pStyle w:val="Compact"/>
        <w:numPr>
          <w:ilvl w:val="0"/>
          <w:numId w:val="1001"/>
        </w:numPr>
      </w:pPr>
      <w:r>
        <w:t xml:space="preserve">Consultas.</w:t>
      </w:r>
    </w:p>
    <w:p>
      <w:pPr>
        <w:pStyle w:val="Compact"/>
        <w:numPr>
          <w:ilvl w:val="0"/>
          <w:numId w:val="1001"/>
        </w:numPr>
      </w:pPr>
      <w:r>
        <w:t xml:space="preserve">Escrituras.</w:t>
      </w:r>
    </w:p>
    <w:p>
      <w:pPr>
        <w:pStyle w:val="Compact"/>
        <w:numPr>
          <w:ilvl w:val="0"/>
          <w:numId w:val="1001"/>
        </w:numPr>
      </w:pPr>
      <w:r>
        <w:t xml:space="preserve">Actualizaciones.</w:t>
      </w:r>
    </w:p>
    <w:p>
      <w:pPr>
        <w:pStyle w:val="Compact"/>
        <w:numPr>
          <w:ilvl w:val="0"/>
          <w:numId w:val="1001"/>
        </w:numPr>
      </w:pPr>
      <w:r>
        <w:t xml:space="preserve">Eliminaciones lógicas.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Las reglas deberán cumplir:</w:t>
      </w:r>
    </w:p>
    <w:p>
      <w:pPr>
        <w:pStyle w:val="Compact"/>
        <w:numPr>
          <w:ilvl w:val="0"/>
          <w:numId w:val="1002"/>
        </w:numPr>
      </w:pPr>
      <w:r>
        <w:t xml:space="preserve">Least Privilege.</w:t>
      </w:r>
    </w:p>
    <w:p>
      <w:pPr>
        <w:pStyle w:val="Compact"/>
        <w:numPr>
          <w:ilvl w:val="0"/>
          <w:numId w:val="1002"/>
        </w:numPr>
      </w:pPr>
      <w:r>
        <w:t xml:space="preserve">Zero Trust.</w:t>
      </w:r>
    </w:p>
    <w:p>
      <w:pPr>
        <w:pStyle w:val="Compact"/>
        <w:numPr>
          <w:ilvl w:val="0"/>
          <w:numId w:val="1002"/>
        </w:numPr>
      </w:pPr>
      <w:r>
        <w:t xml:space="preserve">Multi-Tenant.</w:t>
      </w:r>
    </w:p>
    <w:p>
      <w:pPr>
        <w:pStyle w:val="Compact"/>
        <w:numPr>
          <w:ilvl w:val="0"/>
          <w:numId w:val="1002"/>
        </w:numPr>
      </w:pPr>
      <w:r>
        <w:t xml:space="preserve">Fail Secure.</w:t>
      </w:r>
    </w:p>
    <w:p>
      <w:pPr>
        <w:pStyle w:val="Compact"/>
        <w:numPr>
          <w:ilvl w:val="0"/>
          <w:numId w:val="1002"/>
        </w:numPr>
      </w:pPr>
      <w:r>
        <w:t xml:space="preserve">Defense in Depth.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"/>
    <w:p>
      <w:pPr>
        <w:pStyle w:val="Heading1"/>
      </w:pPr>
      <w:r>
        <w:t xml:space="preserve">Arquitectura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Firebase Authentication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Security Rules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Firestore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Cloud Functions (cuando exista lógica de negocio)</w:t>
      </w:r>
    </w:p>
    <w:p>
      <w:pPr>
        <w:pStyle w:val="FirstParagraph"/>
      </w:pPr>
      <w:r>
        <w:t xml:space="preserve">Las Security Rules validan el acceso.</w:t>
      </w:r>
    </w:p>
    <w:p>
      <w:pPr>
        <w:pStyle w:val="BodyText"/>
      </w:pPr>
      <w:r>
        <w:t xml:space="preserve">Las Cloud Functions validan el negocio.</w:t>
      </w:r>
    </w:p>
    <w:p>
      <w:r>
        <w:pict>
          <v:rect style="width:0;height:1.5pt" o:hralign="center" o:hrstd="t" o:hr="t"/>
        </w:pict>
      </w:r>
    </w:p>
    <w:bookmarkEnd w:id="25"/>
    <w:bookmarkStart w:id="26" w:name="colección-protegida"/>
    <w:p>
      <w:pPr>
        <w:pStyle w:val="Heading1"/>
      </w:pPr>
      <w:r>
        <w:t xml:space="preserve">Colección Protegida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└── {organizationId}</w:t>
      </w:r>
      <w:r>
        <w:br/>
      </w:r>
      <w:r>
        <w:rPr>
          <w:rStyle w:val="VerbatimChar"/>
        </w:rPr>
        <w:t xml:space="preserve">    └── customers</w:t>
      </w:r>
      <w:r>
        <w:br/>
      </w:r>
      <w:r>
        <w:rPr>
          <w:rStyle w:val="VerbatimChar"/>
        </w:rPr>
        <w:t xml:space="preserve">        └── {customerId}</w:t>
      </w:r>
    </w:p>
    <w:p>
      <w:pPr>
        <w:pStyle w:val="FirstParagraph"/>
      </w:pPr>
      <w:r>
        <w:t xml:space="preserve">Toda operación deberá ejecutarse dentro del contexto de una organización.</w:t>
      </w:r>
    </w:p>
    <w:p>
      <w:r>
        <w:pict>
          <v:rect style="width:0;height:1.5pt" o:hralign="center" o:hrstd="t" o:hr="t"/>
        </w:pict>
      </w:r>
    </w:p>
    <w:bookmarkEnd w:id="26"/>
    <w:bookmarkStart w:id="29" w:name="reglas-de-lectura"/>
    <w:p>
      <w:pPr>
        <w:pStyle w:val="Heading1"/>
      </w:pPr>
      <w:r>
        <w:t xml:space="preserve">Reglas de Lectura</w:t>
      </w:r>
    </w:p>
    <w:bookmarkStart w:id="27" w:name="lectura-individual"/>
    <w:p>
      <w:pPr>
        <w:pStyle w:val="Heading2"/>
      </w:pPr>
      <w:r>
        <w:t xml:space="preserve">Lectura Individual</w:t>
      </w:r>
    </w:p>
    <w:p>
      <w:pPr>
        <w:pStyle w:val="FirstParagraph"/>
      </w:pPr>
      <w:r>
        <w:t xml:space="preserve">Permitida únicamente cuando:</w:t>
      </w:r>
    </w:p>
    <w:p>
      <w:pPr>
        <w:pStyle w:val="Compact"/>
        <w:numPr>
          <w:ilvl w:val="0"/>
          <w:numId w:val="1003"/>
        </w:numPr>
      </w:pPr>
      <w:r>
        <w:t xml:space="preserve">El usuario está autenticado.</w:t>
      </w:r>
    </w:p>
    <w:p>
      <w:pPr>
        <w:pStyle w:val="Compact"/>
        <w:numPr>
          <w:ilvl w:val="0"/>
          <w:numId w:val="1003"/>
        </w:numPr>
      </w:pPr>
      <w:r>
        <w:t xml:space="preserve">Pertenece a la organización.</w:t>
      </w:r>
    </w:p>
    <w:p>
      <w:pPr>
        <w:pStyle w:val="Compact"/>
        <w:numPr>
          <w:ilvl w:val="0"/>
          <w:numId w:val="1003"/>
        </w:numPr>
      </w:pPr>
      <w:r>
        <w:t xml:space="preserve">Posee el permiso</w:t>
      </w:r>
      <w:r>
        <w:t xml:space="preserve"> </w:t>
      </w:r>
      <w:r>
        <w:rPr>
          <w:rStyle w:val="VerbatimChar"/>
        </w:rPr>
        <w:t xml:space="preserve">customers.read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listados"/>
    <w:p>
      <w:pPr>
        <w:pStyle w:val="Heading2"/>
      </w:pPr>
      <w:r>
        <w:t xml:space="preserve">Listados</w:t>
      </w:r>
    </w:p>
    <w:p>
      <w:pPr>
        <w:pStyle w:val="FirstParagraph"/>
      </w:pPr>
      <w:r>
        <w:t xml:space="preserve">Permitidos únicamente cuando:</w:t>
      </w:r>
    </w:p>
    <w:p>
      <w:pPr>
        <w:pStyle w:val="Compact"/>
        <w:numPr>
          <w:ilvl w:val="0"/>
          <w:numId w:val="1004"/>
        </w:numPr>
      </w:pPr>
      <w:r>
        <w:t xml:space="preserve">Usuario autenticado.</w:t>
      </w:r>
    </w:p>
    <w:p>
      <w:pPr>
        <w:pStyle w:val="Compact"/>
        <w:numPr>
          <w:ilvl w:val="0"/>
          <w:numId w:val="1004"/>
        </w:numPr>
      </w:pPr>
      <w:r>
        <w:t xml:space="preserve">Organización válida.</w:t>
      </w:r>
    </w:p>
    <w:p>
      <w:pPr>
        <w:pStyle w:val="Compact"/>
        <w:numPr>
          <w:ilvl w:val="0"/>
          <w:numId w:val="1004"/>
        </w:numPr>
      </w:pPr>
      <w:r>
        <w:t xml:space="preserve">Permiso</w:t>
      </w:r>
      <w:r>
        <w:t xml:space="preserve"> </w:t>
      </w:r>
      <w:r>
        <w:rPr>
          <w:rStyle w:val="VerbatimChar"/>
        </w:rPr>
        <w:t xml:space="preserve">customers.read</w:t>
      </w:r>
      <w:r>
        <w:t xml:space="preserve">.</w:t>
      </w:r>
    </w:p>
    <w:p>
      <w:pPr>
        <w:pStyle w:val="FirstParagraph"/>
      </w:pPr>
      <w:r>
        <w:t xml:space="preserve">Las consultas deberán respetar los índices definidos en el modelo de datos.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reglas-de-escritura"/>
    <w:p>
      <w:pPr>
        <w:pStyle w:val="Heading1"/>
      </w:pPr>
      <w:r>
        <w:t xml:space="preserve">Reglas de Escritura</w:t>
      </w:r>
    </w:p>
    <w:bookmarkStart w:id="30" w:name="crear-cliente"/>
    <w:p>
      <w:pPr>
        <w:pStyle w:val="Heading2"/>
      </w:pPr>
      <w:r>
        <w:t xml:space="preserve">Crear Cliente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05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createCustomer</w:t>
      </w:r>
      <w:r>
        <w:t xml:space="preserve">.</w:t>
      </w:r>
    </w:p>
    <w:p>
      <w:pPr>
        <w:pStyle w:val="FirstParagraph"/>
      </w:pPr>
      <w:r>
        <w:t xml:space="preserve">No se permitirá la creación directa desde el cliente.</w:t>
      </w:r>
    </w:p>
    <w:p>
      <w:r>
        <w:pict>
          <v:rect style="width:0;height:1.5pt" o:hralign="center" o:hrstd="t" o:hr="t"/>
        </w:pict>
      </w:r>
    </w:p>
    <w:bookmarkEnd w:id="30"/>
    <w:bookmarkStart w:id="31" w:name="actualizar-cliente"/>
    <w:p>
      <w:pPr>
        <w:pStyle w:val="Heading2"/>
      </w:pPr>
      <w:r>
        <w:t xml:space="preserve">Actualizar Cliente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06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updateCustomer</w:t>
      </w:r>
      <w:r>
        <w:t xml:space="preserve">.</w:t>
      </w:r>
    </w:p>
    <w:p>
      <w:pPr>
        <w:pStyle w:val="FirstParagraph"/>
      </w:pPr>
      <w:r>
        <w:t xml:space="preserve">Las modificaciones sensibles nunca podrán realizarse desde el cliente.</w:t>
      </w:r>
    </w:p>
    <w:p>
      <w:r>
        <w:pict>
          <v:rect style="width:0;height:1.5pt" o:hralign="center" o:hrstd="t" o:hr="t"/>
        </w:pict>
      </w:r>
    </w:p>
    <w:bookmarkEnd w:id="31"/>
    <w:bookmarkStart w:id="32" w:name="archivar"/>
    <w:p>
      <w:pPr>
        <w:pStyle w:val="Heading2"/>
      </w:pPr>
      <w:r>
        <w:t xml:space="preserve">Archivar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07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archiveCustomer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restaurar"/>
    <w:p>
      <w:pPr>
        <w:pStyle w:val="Heading2"/>
      </w:pPr>
      <w:r>
        <w:t xml:space="preserve">Restaurar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08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restoreCustomer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ampos-protegidos"/>
    <w:p>
      <w:pPr>
        <w:pStyle w:val="Heading1"/>
      </w:pPr>
      <w:r>
        <w:t xml:space="preserve">Campos Protegidos</w:t>
      </w:r>
    </w:p>
    <w:p>
      <w:pPr>
        <w:pStyle w:val="FirstParagraph"/>
      </w:pPr>
      <w:r>
        <w:t xml:space="preserve">Los siguientes campos nunca podrán modificarse directamente:</w:t>
      </w:r>
    </w:p>
    <w:p>
      <w:pPr>
        <w:pStyle w:val="Compact"/>
        <w:numPr>
          <w:ilvl w:val="0"/>
          <w:numId w:val="1009"/>
        </w:numPr>
      </w:pPr>
      <w:r>
        <w:t xml:space="preserve">id</w:t>
      </w:r>
    </w:p>
    <w:p>
      <w:pPr>
        <w:pStyle w:val="Compact"/>
        <w:numPr>
          <w:ilvl w:val="0"/>
          <w:numId w:val="1009"/>
        </w:numPr>
      </w:pPr>
      <w:r>
        <w:t xml:space="preserve">organizationId</w:t>
      </w:r>
    </w:p>
    <w:p>
      <w:pPr>
        <w:pStyle w:val="Compact"/>
        <w:numPr>
          <w:ilvl w:val="0"/>
          <w:numId w:val="1009"/>
        </w:numPr>
      </w:pPr>
      <w:r>
        <w:t xml:space="preserve">identityId</w:t>
      </w:r>
    </w:p>
    <w:p>
      <w:pPr>
        <w:pStyle w:val="Compact"/>
        <w:numPr>
          <w:ilvl w:val="0"/>
          <w:numId w:val="1009"/>
        </w:numPr>
      </w:pPr>
      <w:r>
        <w:t xml:space="preserve">createdAt</w:t>
      </w:r>
    </w:p>
    <w:p>
      <w:pPr>
        <w:pStyle w:val="Compact"/>
        <w:numPr>
          <w:ilvl w:val="0"/>
          <w:numId w:val="1009"/>
        </w:numPr>
      </w:pPr>
      <w:r>
        <w:t xml:space="preserve">createdBy</w:t>
      </w:r>
    </w:p>
    <w:p>
      <w:pPr>
        <w:pStyle w:val="FirstParagraph"/>
      </w:pPr>
      <w:r>
        <w:t xml:space="preserve">Las modificaciones deberán realizarse exclusivamente desde procesos autorizados.</w:t>
      </w:r>
    </w:p>
    <w:p>
      <w:r>
        <w:pict>
          <v:rect style="width:0;height:1.5pt" o:hralign="center" o:hrstd="t" o:hr="t"/>
        </w:pict>
      </w:r>
    </w:p>
    <w:bookmarkEnd w:id="35"/>
    <w:bookmarkStart w:id="36" w:name="validaciones"/>
    <w:p>
      <w:pPr>
        <w:pStyle w:val="Heading1"/>
      </w:pPr>
      <w:r>
        <w:t xml:space="preserve">Validaciones</w:t>
      </w:r>
    </w:p>
    <w:p>
      <w:pPr>
        <w:pStyle w:val="FirstParagraph"/>
      </w:pPr>
      <w:r>
        <w:t xml:space="preserve">Las reglas verificarán:</w:t>
      </w:r>
    </w:p>
    <w:p>
      <w:pPr>
        <w:pStyle w:val="Compact"/>
        <w:numPr>
          <w:ilvl w:val="0"/>
          <w:numId w:val="1010"/>
        </w:numPr>
      </w:pPr>
      <w:r>
        <w:t xml:space="preserve">Usuario autenticado.</w:t>
      </w:r>
    </w:p>
    <w:p>
      <w:pPr>
        <w:pStyle w:val="Compact"/>
        <w:numPr>
          <w:ilvl w:val="0"/>
          <w:numId w:val="1010"/>
        </w:numPr>
      </w:pPr>
      <w:r>
        <w:t xml:space="preserve">Organización.</w:t>
      </w:r>
    </w:p>
    <w:p>
      <w:pPr>
        <w:pStyle w:val="Compact"/>
        <w:numPr>
          <w:ilvl w:val="0"/>
          <w:numId w:val="1010"/>
        </w:numPr>
      </w:pPr>
      <w:r>
        <w:t xml:space="preserve">Permisos mínimos.</w:t>
      </w:r>
    </w:p>
    <w:p>
      <w:pPr>
        <w:pStyle w:val="Compact"/>
        <w:numPr>
          <w:ilvl w:val="0"/>
          <w:numId w:val="1010"/>
        </w:numPr>
      </w:pPr>
      <w:r>
        <w:t xml:space="preserve">Existencia del recurso cuando corresponda.</w:t>
      </w:r>
    </w:p>
    <w:p>
      <w:pPr>
        <w:pStyle w:val="Compact"/>
        <w:numPr>
          <w:ilvl w:val="0"/>
          <w:numId w:val="1010"/>
        </w:numPr>
      </w:pPr>
      <w:r>
        <w:t xml:space="preserve">Integridad de la ruta solicitada.</w:t>
      </w:r>
    </w:p>
    <w:p>
      <w:pPr>
        <w:pStyle w:val="FirstParagraph"/>
      </w:pPr>
      <w:r>
        <w:t xml:space="preserve">Las reglas no implementarán validaciones complejas de negocio.</w:t>
      </w:r>
    </w:p>
    <w:p>
      <w:r>
        <w:pict>
          <v:rect style="width:0;height:1.5pt" o:hralign="center" o:hrstd="t" o:hr="t"/>
        </w:pict>
      </w:r>
    </w:p>
    <w:bookmarkEnd w:id="36"/>
    <w:bookmarkStart w:id="37" w:name="multi-tenant"/>
    <w:p>
      <w:pPr>
        <w:pStyle w:val="Heading1"/>
      </w:pPr>
      <w:r>
        <w:t xml:space="preserve">Multi-Tenant</w:t>
      </w:r>
    </w:p>
    <w:p>
      <w:pPr>
        <w:pStyle w:val="FirstParagraph"/>
      </w:pPr>
      <w:r>
        <w:t xml:space="preserve">Todo acceso deberá validar que:</w:t>
      </w:r>
    </w:p>
    <w:p>
      <w:pPr>
        <w:pStyle w:val="Compact"/>
        <w:numPr>
          <w:ilvl w:val="0"/>
          <w:numId w:val="1011"/>
        </w:numPr>
      </w:pPr>
      <w:r>
        <w:t xml:space="preserve">El usuario pertenece a la organización propietaria del documento.</w:t>
      </w:r>
    </w:p>
    <w:p>
      <w:pPr>
        <w:pStyle w:val="Compact"/>
        <w:numPr>
          <w:ilvl w:val="0"/>
          <w:numId w:val="1011"/>
        </w:numPr>
      </w:pPr>
      <w:r>
        <w:t xml:space="preserve">No existe acceso cruzado entre organizaciones.</w:t>
      </w:r>
    </w:p>
    <w:p>
      <w:pPr>
        <w:pStyle w:val="FirstParagraph"/>
      </w:pPr>
      <w:r>
        <w:t xml:space="preserve">Este requisito es obligatorio para toda la plataforma.</w:t>
      </w:r>
    </w:p>
    <w:p>
      <w:r>
        <w:pict>
          <v:rect style="width:0;height:1.5pt" o:hralign="center" o:hrstd="t" o:hr="t"/>
        </w:pict>
      </w:r>
    </w:p>
    <w:bookmarkEnd w:id="37"/>
    <w:bookmarkStart w:id="38" w:name="subcolecciones"/>
    <w:p>
      <w:pPr>
        <w:pStyle w:val="Heading1"/>
      </w:pPr>
      <w:r>
        <w:t xml:space="preserve">Subcolecciones</w:t>
      </w:r>
    </w:p>
    <w:p>
      <w:pPr>
        <w:pStyle w:val="FirstParagraph"/>
      </w:pPr>
      <w:r>
        <w:t xml:space="preserve">Cada subcolección heredará las restricciones del documento padre y podrá añadir reglas específicas cuando sea necesario.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2"/>
        </w:numPr>
      </w:pPr>
      <w:r>
        <w:t xml:space="preserve">notes</w:t>
      </w:r>
    </w:p>
    <w:p>
      <w:pPr>
        <w:pStyle w:val="Compact"/>
        <w:numPr>
          <w:ilvl w:val="0"/>
          <w:numId w:val="1012"/>
        </w:numPr>
      </w:pPr>
      <w:r>
        <w:t xml:space="preserve">documents</w:t>
      </w:r>
    </w:p>
    <w:p>
      <w:pPr>
        <w:pStyle w:val="Compact"/>
        <w:numPr>
          <w:ilvl w:val="0"/>
          <w:numId w:val="1012"/>
        </w:numPr>
      </w:pPr>
      <w:r>
        <w:t xml:space="preserve">preferencesHistory</w:t>
      </w:r>
    </w:p>
    <w:p>
      <w:pPr>
        <w:pStyle w:val="Compact"/>
        <w:numPr>
          <w:ilvl w:val="0"/>
          <w:numId w:val="1012"/>
        </w:numPr>
      </w:pPr>
      <w:r>
        <w:t xml:space="preserve">audit</w:t>
      </w:r>
    </w:p>
    <w:p>
      <w:r>
        <w:pict>
          <v:rect style="width:0;height:1.5pt" o:hralign="center" o:hrstd="t" o:hr="t"/>
        </w:pict>
      </w:r>
    </w:p>
    <w:bookmarkEnd w:id="38"/>
    <w:bookmarkStart w:id="39" w:name="eliminación-física"/>
    <w:p>
      <w:pPr>
        <w:pStyle w:val="Heading1"/>
      </w:pPr>
      <w:r>
        <w:t xml:space="preserve">Eliminación Física</w:t>
      </w:r>
    </w:p>
    <w:p>
      <w:pPr>
        <w:pStyle w:val="FirstParagraph"/>
      </w:pPr>
      <w:r>
        <w:t xml:space="preserve">No permitida desde el cliente.</w:t>
      </w:r>
    </w:p>
    <w:p>
      <w:pPr>
        <w:pStyle w:val="BodyText"/>
      </w:pPr>
      <w:r>
        <w:t xml:space="preserve">La eliminación definitiva únicamente podrá ejecutarse mediante procesos administrativos autorizados y documentados.</w:t>
      </w:r>
    </w:p>
    <w:p>
      <w:r>
        <w:pict>
          <v:rect style="width:0;height:1.5pt" o:hralign="center" o:hrstd="t" o:hr="t"/>
        </w:pict>
      </w:r>
    </w:p>
    <w:bookmarkEnd w:id="39"/>
    <w:bookmarkStart w:id="40" w:name="auditoría"/>
    <w:p>
      <w:pPr>
        <w:pStyle w:val="Heading1"/>
      </w:pPr>
      <w:r>
        <w:t xml:space="preserve">Auditoría</w:t>
      </w:r>
    </w:p>
    <w:p>
      <w:pPr>
        <w:pStyle w:val="FirstParagraph"/>
      </w:pPr>
      <w:r>
        <w:t xml:space="preserve">Las Security Rules no generan auditoría por sí mismas.</w:t>
      </w:r>
    </w:p>
    <w:p>
      <w:pPr>
        <w:pStyle w:val="BodyText"/>
      </w:pPr>
      <w:r>
        <w:t xml:space="preserve">Las operaciones autorizadas deberán ser registradas por Cloud Functions o por el sistema de observabilidad definido en</w:t>
      </w:r>
      <w:r>
        <w:t xml:space="preserve"> </w:t>
      </w:r>
      <w:r>
        <w:rPr>
          <w:rStyle w:val="VerbatimChar"/>
        </w:rPr>
        <w:t xml:space="preserve">CORE003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3" w:name="pruebas"/>
    <w:p>
      <w:pPr>
        <w:pStyle w:val="Heading1"/>
      </w:pPr>
      <w:r>
        <w:t xml:space="preserve">Pruebas</w:t>
      </w:r>
    </w:p>
    <w:p>
      <w:pPr>
        <w:pStyle w:val="FirstParagraph"/>
      </w:pPr>
      <w:r>
        <w:t xml:space="preserve">Se deberán crear pruebas automáticas para verificar:</w:t>
      </w:r>
    </w:p>
    <w:bookmarkStart w:id="41" w:name="accesos-permitidos"/>
    <w:p>
      <w:pPr>
        <w:pStyle w:val="Heading2"/>
      </w:pPr>
      <w:r>
        <w:t xml:space="preserve">Accesos Permitidos</w:t>
      </w:r>
    </w:p>
    <w:p>
      <w:pPr>
        <w:pStyle w:val="Compact"/>
        <w:numPr>
          <w:ilvl w:val="0"/>
          <w:numId w:val="1013"/>
        </w:numPr>
      </w:pPr>
      <w:r>
        <w:t xml:space="preserve">Lectura autorizada.</w:t>
      </w:r>
    </w:p>
    <w:p>
      <w:pPr>
        <w:pStyle w:val="Compact"/>
        <w:numPr>
          <w:ilvl w:val="0"/>
          <w:numId w:val="1013"/>
        </w:numPr>
      </w:pPr>
      <w:r>
        <w:t xml:space="preserve">Consulta autorizada.</w:t>
      </w:r>
    </w:p>
    <w:p>
      <w:pPr>
        <w:pStyle w:val="Compact"/>
        <w:numPr>
          <w:ilvl w:val="0"/>
          <w:numId w:val="1013"/>
        </w:numPr>
      </w:pPr>
      <w:r>
        <w:t xml:space="preserve">Acceso del propietario cuando aplique.</w:t>
      </w:r>
    </w:p>
    <w:p>
      <w:r>
        <w:pict>
          <v:rect style="width:0;height:1.5pt" o:hralign="center" o:hrstd="t" o:hr="t"/>
        </w:pict>
      </w:r>
    </w:p>
    <w:bookmarkEnd w:id="41"/>
    <w:bookmarkStart w:id="42" w:name="accesos-denegados"/>
    <w:p>
      <w:pPr>
        <w:pStyle w:val="Heading2"/>
      </w:pPr>
      <w:r>
        <w:t xml:space="preserve">Accesos Denegados</w:t>
      </w:r>
    </w:p>
    <w:p>
      <w:pPr>
        <w:pStyle w:val="Compact"/>
        <w:numPr>
          <w:ilvl w:val="0"/>
          <w:numId w:val="1014"/>
        </w:numPr>
      </w:pPr>
      <w:r>
        <w:t xml:space="preserve">Usuario sin autenticar.</w:t>
      </w:r>
    </w:p>
    <w:p>
      <w:pPr>
        <w:pStyle w:val="Compact"/>
        <w:numPr>
          <w:ilvl w:val="0"/>
          <w:numId w:val="1014"/>
        </w:numPr>
      </w:pPr>
      <w:r>
        <w:t xml:space="preserve">Organización incorrecta.</w:t>
      </w:r>
    </w:p>
    <w:p>
      <w:pPr>
        <w:pStyle w:val="Compact"/>
        <w:numPr>
          <w:ilvl w:val="0"/>
          <w:numId w:val="1014"/>
        </w:numPr>
      </w:pPr>
      <w:r>
        <w:t xml:space="preserve">Permisos insuficientes.</w:t>
      </w:r>
    </w:p>
    <w:p>
      <w:pPr>
        <w:pStyle w:val="Compact"/>
        <w:numPr>
          <w:ilvl w:val="0"/>
          <w:numId w:val="1014"/>
        </w:numPr>
      </w:pPr>
      <w:r>
        <w:t xml:space="preserve">Modificación de campos protegidos.</w:t>
      </w:r>
    </w:p>
    <w:p>
      <w:pPr>
        <w:pStyle w:val="Compact"/>
        <w:numPr>
          <w:ilvl w:val="0"/>
          <w:numId w:val="1014"/>
        </w:numPr>
      </w:pPr>
      <w:r>
        <w:t xml:space="preserve">Escrituras directas no permitidas.</w:t>
      </w:r>
    </w:p>
    <w:p>
      <w:pPr>
        <w:pStyle w:val="FirstParagraph"/>
      </w:pPr>
      <w:r>
        <w:t xml:space="preserve">Las pruebas deberán ejecutarse utilizando Firebase Emulator Suite.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5"/>
        </w:numPr>
      </w:pPr>
      <w:r>
        <w:t xml:space="preserve">Reglas demasiado permisivas.</w:t>
      </w:r>
    </w:p>
    <w:p>
      <w:pPr>
        <w:pStyle w:val="Compact"/>
        <w:numPr>
          <w:ilvl w:val="0"/>
          <w:numId w:val="1015"/>
        </w:numPr>
      </w:pPr>
      <w:r>
        <w:t xml:space="preserve">Reglas duplicadas.</w:t>
      </w:r>
    </w:p>
    <w:p>
      <w:pPr>
        <w:pStyle w:val="Compact"/>
        <w:numPr>
          <w:ilvl w:val="0"/>
          <w:numId w:val="1015"/>
        </w:numPr>
      </w:pPr>
      <w:r>
        <w:t xml:space="preserve">Consultas incompatibles con las reglas.</w:t>
      </w:r>
    </w:p>
    <w:p>
      <w:pPr>
        <w:pStyle w:val="Compact"/>
        <w:numPr>
          <w:ilvl w:val="0"/>
          <w:numId w:val="1015"/>
        </w:numPr>
      </w:pPr>
      <w:r>
        <w:t xml:space="preserve">Escalamiento de privilegios.</w:t>
      </w:r>
    </w:p>
    <w:p>
      <w:pPr>
        <w:pStyle w:val="Compact"/>
        <w:numPr>
          <w:ilvl w:val="0"/>
          <w:numId w:val="1015"/>
        </w:numPr>
      </w:pPr>
      <w:r>
        <w:t xml:space="preserve">Acceso entre organizaciones.</w:t>
      </w:r>
    </w:p>
    <w:p>
      <w:pPr>
        <w:pStyle w:val="FirstParagraph"/>
      </w:pPr>
      <w:r>
        <w:t xml:space="preserve">Cada cambio en las reglas requerirá revisión arquitectónica y pruebas automatizadas.</w:t>
      </w:r>
    </w:p>
    <w:p>
      <w:r>
        <w:pict>
          <v:rect style="width:0;height:1.5pt" o:hralign="center" o:hrstd="t" o:hr="t"/>
        </w:pict>
      </w:r>
    </w:p>
    <w:bookmarkEnd w:id="44"/>
    <w:bookmarkStart w:id="45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6"/>
        </w:numPr>
      </w:pPr>
      <w:r>
        <w:t xml:space="preserve">Lecturas protegidas.</w:t>
      </w:r>
    </w:p>
    <w:p>
      <w:pPr>
        <w:pStyle w:val="Compact"/>
        <w:numPr>
          <w:ilvl w:val="0"/>
          <w:numId w:val="1016"/>
        </w:numPr>
      </w:pPr>
      <w:r>
        <w:t xml:space="preserve">Escrituras restringidas.</w:t>
      </w:r>
    </w:p>
    <w:p>
      <w:pPr>
        <w:pStyle w:val="Compact"/>
        <w:numPr>
          <w:ilvl w:val="0"/>
          <w:numId w:val="1016"/>
        </w:numPr>
      </w:pPr>
      <w:r>
        <w:t xml:space="preserve">Multi-Tenant validado.</w:t>
      </w:r>
    </w:p>
    <w:p>
      <w:pPr>
        <w:pStyle w:val="Compact"/>
        <w:numPr>
          <w:ilvl w:val="0"/>
          <w:numId w:val="1016"/>
        </w:numPr>
      </w:pPr>
      <w:r>
        <w:t xml:space="preserve">Campos protegidos identificados.</w:t>
      </w:r>
    </w:p>
    <w:p>
      <w:pPr>
        <w:pStyle w:val="Compact"/>
        <w:numPr>
          <w:ilvl w:val="0"/>
          <w:numId w:val="1016"/>
        </w:numPr>
      </w:pPr>
      <w:r>
        <w:t xml:space="preserve">Integración con Cloud Functions definida.</w:t>
      </w:r>
    </w:p>
    <w:p>
      <w:pPr>
        <w:pStyle w:val="Compact"/>
        <w:numPr>
          <w:ilvl w:val="0"/>
          <w:numId w:val="1016"/>
        </w:numPr>
      </w:pPr>
      <w:r>
        <w:t xml:space="preserve">Estrategia de pruebas documentada.</w:t>
      </w:r>
    </w:p>
    <w:p>
      <w:r>
        <w:pict>
          <v:rect style="width:0;height:1.5pt" o:hralign="center" o:hrstd="t" o:hr="t"/>
        </w:pict>
      </w:r>
    </w:p>
    <w:bookmarkEnd w:id="45"/>
    <w:bookmarkStart w:id="46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7"/>
        </w:numPr>
      </w:pPr>
      <w:r>
        <w:t xml:space="preserve">SEC001_SECURITY_ARCHITECTURE.md</w:t>
      </w:r>
    </w:p>
    <w:p>
      <w:pPr>
        <w:pStyle w:val="Compact"/>
        <w:numPr>
          <w:ilvl w:val="0"/>
          <w:numId w:val="1017"/>
        </w:numPr>
      </w:pPr>
      <w:r>
        <w:t xml:space="preserve">SEC002_AUTHORIZATION_MODEL.md</w:t>
      </w:r>
    </w:p>
    <w:p>
      <w:pPr>
        <w:pStyle w:val="Compact"/>
        <w:numPr>
          <w:ilvl w:val="0"/>
          <w:numId w:val="1017"/>
        </w:numPr>
      </w:pPr>
      <w:r>
        <w:t xml:space="preserve">CUSTOMER002_CUSTOMER_DATA_MODEL.md</w:t>
      </w:r>
    </w:p>
    <w:p>
      <w:pPr>
        <w:pStyle w:val="Compact"/>
        <w:numPr>
          <w:ilvl w:val="0"/>
          <w:numId w:val="1017"/>
        </w:numPr>
      </w:pPr>
      <w:r>
        <w:t xml:space="preserve">CUSTOMER005_CLOUD_FUNCTIONS_API_SPECIFICATION.md</w:t>
      </w:r>
    </w:p>
    <w:p>
      <w:pPr>
        <w:pStyle w:val="Compact"/>
        <w:numPr>
          <w:ilvl w:val="0"/>
          <w:numId w:val="1017"/>
        </w:numPr>
      </w:pPr>
      <w:r>
        <w:t xml:space="preserve">FB002_FIRESTORE_REPOSITORY_PATTERN.md</w:t>
      </w:r>
    </w:p>
    <w:p>
      <w:r>
        <w:pict>
          <v:rect style="width:0;height:1.5pt" o:hralign="center" o:hrstd="t" o:hr="t"/>
        </w:pict>
      </w:r>
    </w:p>
    <w:bookmarkEnd w:id="46"/>
    <w:bookmarkStart w:id="47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especificación oficial de Security Rules del dominio Customers.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2026-06-30T17:04:25Z</dcterms:created>
  <dcterms:modified xsi:type="dcterms:W3CDTF">2026-06-30T17:04:25Z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