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IMP001 — ENTERPRISE MONOREPO IMPLEMENTATION GUIDE</w:t>
      </w:r>
    </w:p>
    <w:p>
      <w:r>
        <w:t>Versión: 1.0</w:t>
        <w:br/>
        <w:t>Estado: Aprobado para Implementación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la guía oficial para implementar el monorepo empresarial siguiendo la arquitectura aprobada.</w:t>
      </w:r>
    </w:p>
    <w:p>
      <w:pPr>
        <w:pStyle w:val="Heading3"/>
      </w:pPr>
      <w:r>
        <w:t>Alcance</w:t>
      </w:r>
    </w:p>
    <w:p>
      <w:r>
        <w:t>Creación del repositorio, estructura base, herramientas compartidas, paquetes y aplicaciones.</w:t>
      </w:r>
    </w:p>
    <w:p>
      <w:pPr>
        <w:pStyle w:val="Heading3"/>
      </w:pPr>
      <w:r>
        <w:t>Precondiciones</w:t>
      </w:r>
    </w:p>
    <w:p>
      <w:r>
        <w:t>Blueprint BP001–BP016 aprobados, repositorio Git inicializado y proyecto Firebase creado.</w:t>
      </w:r>
    </w:p>
    <w:p>
      <w:pPr>
        <w:pStyle w:val="Heading3"/>
      </w:pPr>
      <w:r>
        <w:t>Estructura Inicial</w:t>
      </w:r>
    </w:p>
    <w:p>
      <w:r>
        <w:t>Crear apps/, packages/, functions/, infrastructure/, docs/, scripts/, tooling/ y .github/.</w:t>
      </w:r>
    </w:p>
    <w:p>
      <w:pPr>
        <w:pStyle w:val="Heading3"/>
      </w:pPr>
      <w:r>
        <w:t>Herramientas</w:t>
      </w:r>
    </w:p>
    <w:p>
      <w:r>
        <w:t>Configurar TypeScript, ESLint, Prettier, Vite, Tailwind CSS y gestor de paquetes unificado.</w:t>
      </w:r>
    </w:p>
    <w:p>
      <w:pPr>
        <w:pStyle w:val="Heading3"/>
      </w:pPr>
      <w:r>
        <w:t>Convenciones</w:t>
      </w:r>
    </w:p>
    <w:p>
      <w:r>
        <w:t>Aliases compartidos, configuración centralizada, versionado semántico y commits convencionales.</w:t>
      </w:r>
    </w:p>
    <w:p>
      <w:pPr>
        <w:pStyle w:val="Heading3"/>
      </w:pPr>
      <w:r>
        <w:t>Validación</w:t>
      </w:r>
    </w:p>
    <w:p>
      <w:r>
        <w:t>Verificar compilación, lint, pruebas básicas y pipeline CI antes de incorporar dominios.</w:t>
      </w:r>
    </w:p>
    <w:p>
      <w:pPr>
        <w:pStyle w:val="Heading3"/>
      </w:pPr>
      <w:r>
        <w:t>Criterios de Éxito</w:t>
      </w:r>
    </w:p>
    <w:p>
      <w:r>
        <w:t>Monorepo reproducible, documentado, escalable y preparado para iniciar el desarrollo por dominios.</w:t>
      </w:r>
    </w:p>
    <w:p>
      <w:pPr>
        <w:pStyle w:val="Heading3"/>
      </w:pPr>
      <w:r>
        <w:t>Estado</w:t>
      </w:r>
    </w:p>
    <w:p>
      <w:r>
        <w:t>Aprobado como guía oficial de implementación del monorepo.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