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IMP011 — DESIGN SYSTEM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Implementar el Design System oficial basado en la especificación BP011 para garantizar consistencia visual.</w:t>
      </w:r>
    </w:p>
    <w:p>
      <w:pPr>
        <w:pStyle w:val="Heading3"/>
      </w:pPr>
      <w:r>
        <w:t>Arquitectura</w:t>
      </w:r>
    </w:p>
    <w:p>
      <w:r>
        <w:t>Sistema de componentes reutilizables basado en Atomic Design integrado con React y Tailwind CSS.</w:t>
      </w:r>
    </w:p>
    <w:p>
      <w:pPr>
        <w:pStyle w:val="Heading3"/>
      </w:pPr>
      <w:r>
        <w:t>Design Tokens</w:t>
      </w:r>
    </w:p>
    <w:p>
      <w:r>
        <w:t>Implementación centralizada de colores, tipografía, espaciado, sombras y breakpoints.</w:t>
      </w:r>
    </w:p>
    <w:p>
      <w:pPr>
        <w:pStyle w:val="Heading3"/>
      </w:pPr>
      <w:r>
        <w:t>Componentes Base</w:t>
      </w:r>
    </w:p>
    <w:p>
      <w:r>
        <w:t>Button, Input, Card, Modal, Table, Form, Navigation y Feedback components.</w:t>
      </w:r>
    </w:p>
    <w:p>
      <w:pPr>
        <w:pStyle w:val="Heading3"/>
      </w:pPr>
      <w:r>
        <w:t>Temas</w:t>
      </w:r>
    </w:p>
    <w:p>
      <w:r>
        <w:t>Soporte para tema claro/oscuro y personalización por organización.</w:t>
      </w:r>
    </w:p>
    <w:p>
      <w:pPr>
        <w:pStyle w:val="Heading3"/>
      </w:pPr>
      <w:r>
        <w:t>Accesibilidad</w:t>
      </w:r>
    </w:p>
    <w:p>
      <w:r>
        <w:t>Cumplimiento WCAG 2.2 con foco en navegación por teclado y lectores de pantalla.</w:t>
      </w:r>
    </w:p>
    <w:p>
      <w:pPr>
        <w:pStyle w:val="Heading3"/>
      </w:pPr>
      <w:r>
        <w:t>Integración</w:t>
      </w:r>
    </w:p>
    <w:p>
      <w:r>
        <w:t>Uso obligatorio del Design System en toda la capa de presentación.</w:t>
      </w:r>
    </w:p>
    <w:p>
      <w:pPr>
        <w:pStyle w:val="Heading3"/>
      </w:pPr>
      <w:r>
        <w:t>Estado</w:t>
      </w:r>
    </w:p>
    <w:p>
      <w:r>
        <w:t>Aprobado como guía oficial de implementación del Design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