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INT003 — INTEGRATION HUB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Integration Hub.</w:t>
      </w:r>
    </w:p>
    <w:p>
      <w:pPr>
        <w:pStyle w:val="Heading3"/>
      </w:pPr>
      <w:r>
        <w:t>Alcance</w:t>
      </w:r>
    </w:p>
    <w:p>
      <w:r>
        <w:t>Gestión de conectores, webhooks, sincronización, mapeos y flujos de integración.</w:t>
      </w:r>
    </w:p>
    <w:p>
      <w:pPr>
        <w:pStyle w:val="Heading3"/>
      </w:pPr>
      <w:r>
        <w:t>Principios</w:t>
      </w:r>
    </w:p>
    <w:p>
      <w:r>
        <w:t>API First, Event Driven, autenticación, autorización, auditoría e idempotencia.</w:t>
      </w:r>
    </w:p>
    <w:p>
      <w:pPr>
        <w:pStyle w:val="Heading3"/>
      </w:pPr>
      <w:r>
        <w:t>UC001 - RegisterConnector</w:t>
      </w:r>
    </w:p>
    <w:p>
      <w:r>
        <w:t>Registrar y configurar un nuevo conector externo.</w:t>
      </w:r>
    </w:p>
    <w:p>
      <w:pPr>
        <w:pStyle w:val="Heading3"/>
      </w:pPr>
      <w:r>
        <w:t>UC002 - ReceiveWebhook</w:t>
      </w:r>
    </w:p>
    <w:p>
      <w:r>
        <w:t>Recibir, validar y procesar webhooks.</w:t>
      </w:r>
    </w:p>
    <w:p>
      <w:pPr>
        <w:pStyle w:val="Heading3"/>
      </w:pPr>
      <w:r>
        <w:t>UC003 - ExecuteSync</w:t>
      </w:r>
    </w:p>
    <w:p>
      <w:r>
        <w:t>Ejecutar sincronizaciones manuales o programadas.</w:t>
      </w:r>
    </w:p>
    <w:p>
      <w:pPr>
        <w:pStyle w:val="Heading3"/>
      </w:pPr>
      <w:r>
        <w:t>UC004 - ManageMappings</w:t>
      </w:r>
    </w:p>
    <w:p>
      <w:r>
        <w:t>Administrar perfiles de mapeo y transformación de datos.</w:t>
      </w:r>
    </w:p>
    <w:p>
      <w:pPr>
        <w:pStyle w:val="Heading3"/>
      </w:pPr>
      <w:r>
        <w:t>UC005 - RetryFailedJob</w:t>
      </w:r>
    </w:p>
    <w:p>
      <w:r>
        <w:t>Reintentar sincronizaciones fallidas.</w:t>
      </w:r>
    </w:p>
    <w:p>
      <w:pPr>
        <w:pStyle w:val="Heading3"/>
      </w:pPr>
      <w:r>
        <w:t>UC006 - MonitorIntegrationHealth</w:t>
      </w:r>
    </w:p>
    <w:p>
      <w:r>
        <w:t>Supervisar el estado de conectores y flujos.</w:t>
      </w:r>
    </w:p>
    <w:p>
      <w:pPr>
        <w:pStyle w:val="Heading3"/>
      </w:pPr>
      <w:r>
        <w:t>Eventos</w:t>
      </w:r>
    </w:p>
    <w:p>
      <w:r>
        <w:t>ConnectorCreated, WebhookReceived, SyncStarted, SyncCompleted y SyncFailed.</w:t>
      </w:r>
    </w:p>
    <w:p>
      <w:pPr>
        <w:pStyle w:val="Heading3"/>
      </w:pPr>
      <w:r>
        <w:t>Seguridad</w:t>
      </w:r>
    </w:p>
    <w:p>
      <w:r>
        <w:t>Validar identidad, organización, credenciales y aislamiento multi-tenant.</w:t>
      </w:r>
    </w:p>
    <w:p>
      <w:pPr>
        <w:pStyle w:val="Heading3"/>
      </w:pPr>
      <w:r>
        <w:t>Auditoría</w:t>
      </w:r>
    </w:p>
    <w:p>
      <w:r>
        <w:t>Registrar usuario, organización, cambios y Correlation ID.</w:t>
      </w:r>
    </w:p>
    <w:p>
      <w:pPr>
        <w:pStyle w:val="Heading3"/>
      </w:pPr>
      <w:r>
        <w:t>Estado</w:t>
      </w:r>
    </w:p>
    <w:p>
      <w:r>
        <w:t>Aprobado como especificación oficial de casos de uso del dominio Integration Hub.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