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INT004 — INTEGRATION HUB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Integration Hub mediante un Integration Workspace modular.</w:t>
      </w:r>
    </w:p>
    <w:p>
      <w:pPr>
        <w:pStyle w:val="Heading3"/>
      </w:pPr>
      <w:r>
        <w:t>Alcance</w:t>
      </w:r>
    </w:p>
    <w:p>
      <w:r>
        <w:t>Conectores, webhooks, sincronizaciones, mapeos, monitoreo y trabajos.</w:t>
      </w:r>
    </w:p>
    <w:p>
      <w:pPr>
        <w:pStyle w:val="Heading3"/>
      </w:pPr>
      <w:r>
        <w:t>Principios</w:t>
      </w:r>
    </w:p>
    <w:p>
      <w:r>
        <w:t>Responsive, accesible, reutilizable, desacoplado y alineado con el Design System.</w:t>
      </w:r>
    </w:p>
    <w:p>
      <w:pPr>
        <w:pStyle w:val="Heading3"/>
      </w:pPr>
      <w:r>
        <w:t>Workspace</w:t>
      </w:r>
    </w:p>
    <w:p>
      <w:r>
        <w:t>Header, Connector Catalog, Webhook Center, Sync Jobs, Mapping Designer, Health Dashboard y Quick Actions.</w:t>
      </w:r>
    </w:p>
    <w:p>
      <w:pPr>
        <w:pStyle w:val="Heading3"/>
      </w:pPr>
      <w:r>
        <w:t>Componentes</w:t>
      </w:r>
    </w:p>
    <w:p>
      <w:r>
        <w:t>IntegrationWorkspace, ConnectorTable, WebhookViewer, JobMonitor, MappingEditor, HealthPanel, SearchBar y Filters.</w:t>
      </w:r>
    </w:p>
    <w:p>
      <w:pPr>
        <w:pStyle w:val="Heading3"/>
      </w:pPr>
      <w:r>
        <w:t>Estados</w:t>
      </w:r>
    </w:p>
    <w:p>
      <w:r>
        <w:t>Carga, vacío, error, sin resultados y sin permisos.</w:t>
      </w:r>
    </w:p>
    <w:p>
      <w:pPr>
        <w:pStyle w:val="Heading3"/>
      </w:pPr>
      <w:r>
        <w:t>Integraciones</w:t>
      </w:r>
    </w:p>
    <w:p>
      <w:r>
        <w:t>Firebase, IAM, OpenAI, Gemini, GA4, Stripe y Communication Platform.</w:t>
      </w:r>
    </w:p>
    <w:p>
      <w:pPr>
        <w:pStyle w:val="Heading3"/>
      </w:pPr>
      <w:r>
        <w:t>Accesibilidad</w:t>
      </w:r>
    </w:p>
    <w:p>
      <w:r>
        <w:t>Navegación por teclado, etiquetas semánticas y foco visible.</w:t>
      </w:r>
    </w:p>
    <w:p>
      <w:pPr>
        <w:pStyle w:val="Heading3"/>
      </w:pPr>
      <w:r>
        <w:t>Rendimiento</w:t>
      </w:r>
    </w:p>
    <w:p>
      <w:r>
        <w:t>Carga diferida, paginación, actualización incremental y virtualización.</w:t>
      </w:r>
    </w:p>
    <w:p>
      <w:pPr>
        <w:pStyle w:val="Heading3"/>
      </w:pPr>
      <w:r>
        <w:t>Estado</w:t>
      </w:r>
    </w:p>
    <w:p>
      <w:r>
        <w:t>Aprobado como arquitectura oficial de la interfaz del dominio Integration 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