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INT006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Integration Hub.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organizations/{organizationId}/integrations/{workspaceId}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integrations.read dentro de su organización.</w:t>
      </w:r>
    </w:p>
    <w:p>
      <w:pPr>
        <w:pStyle w:val="Heading3"/>
      </w:pPr>
      <w:r>
        <w:t>Escrituras</w:t>
      </w:r>
    </w:p>
    <w:p>
      <w:r>
        <w:t>Todas las escrituras se realizarán mediante Cloud Functions autorizadas; el acceso directo del cliente será denegado.</w:t>
      </w:r>
    </w:p>
    <w:p>
      <w:pPr>
        <w:pStyle w:val="Heading3"/>
      </w:pPr>
      <w:r>
        <w:t>Campos Protegidos</w:t>
      </w:r>
    </w:p>
    <w:p>
      <w:r>
        <w:t>id, organizationId, createdAt, createdBy, updatedAt, updatedBy, secretRef, version y correlationId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aislamiento multi-tenant.</w:t>
      </w:r>
    </w:p>
    <w:p>
      <w:pPr>
        <w:pStyle w:val="Heading3"/>
      </w:pPr>
      <w:r>
        <w:t>Subcolecciones</w:t>
      </w:r>
    </w:p>
    <w:p>
      <w:r>
        <w:t>connectors, webhooks, flows, mappings, jobs y audit heredarán el contexto de seguridad del Integration Workspace.</w:t>
      </w:r>
    </w:p>
    <w:p>
      <w:pPr>
        <w:pStyle w:val="Heading3"/>
      </w:pPr>
      <w:r>
        <w:t>Protección</w:t>
      </w:r>
    </w:p>
    <w:p>
      <w:r>
        <w:t>Las credenciales y secretos se almacenarán mediante referencias seguras y nunca serán expuestos al cliente.</w:t>
      </w:r>
    </w:p>
    <w:p>
      <w:pPr>
        <w:pStyle w:val="Heading3"/>
      </w:pPr>
      <w:r>
        <w:t>Pruebas</w:t>
      </w:r>
    </w:p>
    <w:p>
      <w:r>
        <w:t>Validar accesos permitidos y denegados mediante Firebase Emulator Suite.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Integration 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