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INT008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Integration Hub.</w:t>
      </w:r>
    </w:p>
    <w:p>
      <w:pPr>
        <w:pStyle w:val="Heading3"/>
      </w:pPr>
      <w:r>
        <w:t>Dependencias</w:t>
      </w:r>
    </w:p>
    <w:p>
      <w:r>
        <w:t>Core, Firebase, IAM, Observability, Configuration, AI Platform y Communication Platform.</w:t>
      </w:r>
    </w:p>
    <w:p>
      <w:pPr>
        <w:pStyle w:val="Heading3"/>
      </w:pPr>
      <w:r>
        <w:t>Objetivos</w:t>
      </w:r>
    </w:p>
    <w:p>
      <w:r>
        <w:t>Aplicar Clean Architecture, SOLID, DDD, API First, Event Driven e idempotencia.</w:t>
      </w:r>
    </w:p>
    <w:p>
      <w:pPr>
        <w:pStyle w:val="Heading3"/>
      </w:pPr>
      <w:r>
        <w:t>Estructura del Módulo</w:t>
      </w:r>
    </w:p>
    <w:p>
      <w:r>
        <w:t>packages/integration con capas domain, application, infrastructure, presentation y tests.</w:t>
      </w:r>
    </w:p>
    <w:p>
      <w:pPr>
        <w:pStyle w:val="Heading3"/>
      </w:pPr>
      <w:r>
        <w:t>Entidades</w:t>
      </w:r>
    </w:p>
    <w:p>
      <w:r>
        <w:t>IntegrationWorkspace, Connector, Webhook, IntegrationFlow, MappingProfile y SyncJob.</w:t>
      </w:r>
    </w:p>
    <w:p>
      <w:pPr>
        <w:pStyle w:val="Heading3"/>
      </w:pPr>
      <w:r>
        <w:t>Value Objects</w:t>
      </w:r>
    </w:p>
    <w:p>
      <w:r>
        <w:t>ConnectorId, WebhookSecretRef, ProviderCode, MappingVersion, SyncStatus y CorrelationId.</w:t>
      </w:r>
    </w:p>
    <w:p>
      <w:pPr>
        <w:pStyle w:val="Heading3"/>
      </w:pPr>
      <w:r>
        <w:t>Casos de Uso</w:t>
      </w:r>
    </w:p>
    <w:p>
      <w:r>
        <w:t>RegisterConnector, ReceiveWebhook, ExecuteSync, ManageMappings, RetryFailedJob y MonitorIntegrationHealth.</w:t>
      </w:r>
    </w:p>
    <w:p>
      <w:pPr>
        <w:pStyle w:val="Heading3"/>
      </w:pPr>
      <w:r>
        <w:t>Cloud Functions</w:t>
      </w:r>
    </w:p>
    <w:p>
      <w:r>
        <w:t>Implementar las funciones definidas en INT005 con colas, reintentos, auditoría y procesamiento asíncrono.</w:t>
      </w:r>
    </w:p>
    <w:p>
      <w:pPr>
        <w:pStyle w:val="Heading3"/>
      </w:pPr>
      <w:r>
        <w:t>Frontend</w:t>
      </w:r>
    </w:p>
    <w:p>
      <w:r>
        <w:t>IntegrationWorkspace, ConnectorCatalog, WebhookCenter, MappingDesigner, JobMonitor y HealthDashboard.</w:t>
      </w:r>
    </w:p>
    <w:p>
      <w:pPr>
        <w:pStyle w:val="Heading3"/>
      </w:pPr>
      <w:r>
        <w:t>Integraciones</w:t>
      </w:r>
    </w:p>
    <w:p>
      <w:r>
        <w:t>Firebase, IAM, OpenAI, Google Gemini, GA4, Stripe, Communication Platform y proveedores externos.</w:t>
      </w:r>
    </w:p>
    <w:p>
      <w:pPr>
        <w:pStyle w:val="Heading3"/>
      </w:pPr>
      <w:r>
        <w:t>Fases</w:t>
      </w:r>
    </w:p>
    <w:p>
      <w:r>
        <w:t>1) Dominio. 2) Infraestructura. 3) Cloud Functions. 4) Frontend. 5) Integraciones. 6) Pruebas. 7) Optimización.</w:t>
      </w:r>
    </w:p>
    <w:p>
      <w:pPr>
        <w:pStyle w:val="Heading3"/>
      </w:pPr>
      <w:r>
        <w:t>Definition of Ready</w:t>
      </w:r>
    </w:p>
    <w:p>
      <w:r>
        <w:t>Documentación aprobada, contratos definidos y criterios de aceptación claros.</w:t>
      </w:r>
    </w:p>
    <w:p>
      <w:pPr>
        <w:pStyle w:val="Heading3"/>
      </w:pPr>
      <w:r>
        <w:t>Definition of Done</w:t>
      </w:r>
    </w:p>
    <w:p>
      <w:r>
        <w:t>Cobertura alcanzada, revisión arquitectónica aprobada y documentación actualizada.</w:t>
      </w:r>
    </w:p>
    <w:p>
      <w:pPr>
        <w:pStyle w:val="Heading3"/>
      </w:pPr>
      <w:r>
        <w:t>Checklist</w:t>
      </w:r>
    </w:p>
    <w:p>
      <w:r>
        <w:t>Seguridad, resiliencia, observabilidad, reintentos, secretos e integraciones verificadas.</w:t>
      </w:r>
    </w:p>
    <w:p>
      <w:pPr>
        <w:pStyle w:val="Heading3"/>
      </w:pPr>
      <w:r>
        <w:t>Entregables</w:t>
      </w:r>
    </w:p>
    <w:p>
      <w:r>
        <w:t>Código fuente, pruebas automatizadas, cobertura, evidencias funcionales y ADRs.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