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treatment008-implementation-playbook"/>
    <w:p>
      <w:pPr>
        <w:pStyle w:val="Heading1"/>
      </w:pPr>
      <w:r>
        <w:t xml:space="preserve">TREATMENT008 — IMPLEMENTATION PLAYBOOK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plan oficial de implementación del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.</w:t>
      </w:r>
    </w:p>
    <w:p>
      <w:pPr>
        <w:pStyle w:val="BodyText"/>
      </w:pPr>
      <w:r>
        <w:t xml:space="preserve">Este documento transforma la arquitectura aprobada en un plan técnico ejecutable, estableciendo el orden de desarrollo, los criterios de calidad y los entregables esperados.</w:t>
      </w:r>
    </w:p>
    <w:p>
      <w:r>
        <w:pict>
          <v:rect style="width:0;height:1.5pt" o:hralign="center" o:hrstd="t" o:hr="t"/>
        </w:pict>
      </w:r>
    </w:p>
    <w:bookmarkEnd w:id="22"/>
    <w:bookmarkStart w:id="26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La implementación requiere:</w:t>
      </w:r>
    </w:p>
    <w:bookmarkStart w:id="23" w:name="arquitectura-base"/>
    <w:p>
      <w:pPr>
        <w:pStyle w:val="Heading2"/>
      </w:pPr>
      <w:r>
        <w:t xml:space="preserve">Arquitectura Base</w:t>
      </w:r>
    </w:p>
    <w:p>
      <w:pPr>
        <w:pStyle w:val="Compact"/>
        <w:numPr>
          <w:ilvl w:val="0"/>
          <w:numId w:val="1001"/>
        </w:numPr>
      </w:pPr>
      <w:r>
        <w:t xml:space="preserve">CORE001–CORE004</w:t>
      </w:r>
    </w:p>
    <w:p>
      <w:pPr>
        <w:pStyle w:val="Compact"/>
        <w:numPr>
          <w:ilvl w:val="0"/>
          <w:numId w:val="1001"/>
        </w:numPr>
      </w:pPr>
      <w:r>
        <w:t xml:space="preserve">UI001–UI005</w:t>
      </w:r>
    </w:p>
    <w:p>
      <w:pPr>
        <w:pStyle w:val="Compact"/>
        <w:numPr>
          <w:ilvl w:val="0"/>
          <w:numId w:val="1001"/>
        </w:numPr>
      </w:pPr>
      <w:r>
        <w:t xml:space="preserve">FB001–FB004</w:t>
      </w:r>
    </w:p>
    <w:p>
      <w:pPr>
        <w:pStyle w:val="Compact"/>
        <w:numPr>
          <w:ilvl w:val="0"/>
          <w:numId w:val="1001"/>
        </w:numPr>
      </w:pPr>
      <w:r>
        <w:t xml:space="preserve">A009–A012</w:t>
      </w:r>
    </w:p>
    <w:bookmarkEnd w:id="23"/>
    <w:bookmarkStart w:id="24" w:name="seguridad"/>
    <w:p>
      <w:pPr>
        <w:pStyle w:val="Heading2"/>
      </w:pPr>
      <w:r>
        <w:t xml:space="preserve">Seguridad</w:t>
      </w:r>
    </w:p>
    <w:p>
      <w:pPr>
        <w:pStyle w:val="Compact"/>
        <w:numPr>
          <w:ilvl w:val="0"/>
          <w:numId w:val="1002"/>
        </w:numPr>
      </w:pPr>
      <w:r>
        <w:t xml:space="preserve">AUTH001–AUTH004</w:t>
      </w:r>
    </w:p>
    <w:p>
      <w:pPr>
        <w:pStyle w:val="Compact"/>
        <w:numPr>
          <w:ilvl w:val="0"/>
          <w:numId w:val="1002"/>
        </w:numPr>
      </w:pPr>
      <w:r>
        <w:t xml:space="preserve">SEC001–SEC002</w:t>
      </w:r>
    </w:p>
    <w:bookmarkEnd w:id="24"/>
    <w:bookmarkStart w:id="25" w:name="dominios"/>
    <w:p>
      <w:pPr>
        <w:pStyle w:val="Heading2"/>
      </w:pPr>
      <w:r>
        <w:t xml:space="preserve">Dominios</w:t>
      </w:r>
    </w:p>
    <w:p>
      <w:pPr>
        <w:pStyle w:val="Compact"/>
        <w:numPr>
          <w:ilvl w:val="0"/>
          <w:numId w:val="1003"/>
        </w:numPr>
      </w:pPr>
      <w:r>
        <w:t xml:space="preserve">CUSTOMER001–CUSTOMER008</w:t>
      </w:r>
    </w:p>
    <w:p>
      <w:pPr>
        <w:pStyle w:val="Compact"/>
        <w:numPr>
          <w:ilvl w:val="0"/>
          <w:numId w:val="1003"/>
        </w:numPr>
      </w:pPr>
      <w:r>
        <w:t xml:space="preserve">APP001–APP008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implementación deberá:</w:t>
      </w:r>
    </w:p>
    <w:p>
      <w:pPr>
        <w:pStyle w:val="Compact"/>
        <w:numPr>
          <w:ilvl w:val="0"/>
          <w:numId w:val="1004"/>
        </w:numPr>
      </w:pPr>
      <w:r>
        <w:t xml:space="preserve">Respetar Clean Architecture.</w:t>
      </w:r>
    </w:p>
    <w:p>
      <w:pPr>
        <w:pStyle w:val="Compact"/>
        <w:numPr>
          <w:ilvl w:val="0"/>
          <w:numId w:val="1004"/>
        </w:numPr>
      </w:pPr>
      <w:r>
        <w:t xml:space="preserve">Aplicar SOLID.</w:t>
      </w:r>
    </w:p>
    <w:p>
      <w:pPr>
        <w:pStyle w:val="Compact"/>
        <w:numPr>
          <w:ilvl w:val="0"/>
          <w:numId w:val="1004"/>
        </w:numPr>
      </w:pPr>
      <w:r>
        <w:t xml:space="preserve">Mantener desacoplamiento entre dominios.</w:t>
      </w:r>
    </w:p>
    <w:p>
      <w:pPr>
        <w:pStyle w:val="Compact"/>
        <w:numPr>
          <w:ilvl w:val="0"/>
          <w:numId w:val="1004"/>
        </w:numPr>
      </w:pPr>
      <w:r>
        <w:t xml:space="preserve">Integrarse con Event Driven Architecture.</w:t>
      </w:r>
    </w:p>
    <w:p>
      <w:pPr>
        <w:pStyle w:val="Compact"/>
        <w:numPr>
          <w:ilvl w:val="0"/>
          <w:numId w:val="1004"/>
        </w:numPr>
      </w:pPr>
      <w:r>
        <w:t xml:space="preserve">Utilizar exclusivamente contratos públicos.</w:t>
      </w:r>
    </w:p>
    <w:p>
      <w:r>
        <w:pict>
          <v:rect style="width:0;height:1.5pt" o:hralign="center" o:hrstd="t" o:hr="t"/>
        </w:pict>
      </w:r>
    </w:p>
    <w:bookmarkEnd w:id="27"/>
    <w:bookmarkStart w:id="28" w:name="arquitectura-del-módulo"/>
    <w:p>
      <w:pPr>
        <w:pStyle w:val="Heading1"/>
      </w:pPr>
      <w:r>
        <w:t xml:space="preserve">Arquitectura del Módulo</w:t>
      </w:r>
    </w:p>
    <w:p>
      <w:pPr>
        <w:pStyle w:val="FirstParagraph"/>
      </w:pPr>
      <w:r>
        <w:rPr>
          <w:rStyle w:val="VerbatimChar"/>
        </w:rPr>
        <w:t xml:space="preserve">text id="treatment-module" packages/ └── treatments/     ├── domain/     │   ├── entities/     │   ├── value-objects/     │   ├── repositories/     │   ├── events/     │   └── services/     │     ├── application/     │   ├── dto/     │   ├── validators/     │   ├── mappers/     │   └── use-cases/     │     ├── infrastructure/     │   ├── firestore/     │   ├── repositories/     │   ├── converters/     │   └── adapters/     │     ├── presentation/     │   ├── workspace/     │   ├── pages/     │   ├── components/     │   ├── hooks/     │   └── forms/     │     ├── tests/     └── index.ts</w:t>
      </w:r>
    </w:p>
    <w:p>
      <w:r>
        <w:pict>
          <v:rect style="width:0;height:1.5pt" o:hralign="center" o:hrstd="t" o:hr="t"/>
        </w:pict>
      </w:r>
    </w:p>
    <w:bookmarkEnd w:id="28"/>
    <w:bookmarkStart w:id="29" w:name="entidades"/>
    <w:p>
      <w:pPr>
        <w:pStyle w:val="Heading1"/>
      </w:pPr>
      <w:r>
        <w:t xml:space="preserve">Entidades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5"/>
        </w:numPr>
      </w:pPr>
      <w:r>
        <w:t xml:space="preserve">Treatment</w:t>
      </w:r>
    </w:p>
    <w:p>
      <w:pPr>
        <w:pStyle w:val="Compact"/>
        <w:numPr>
          <w:ilvl w:val="0"/>
          <w:numId w:val="1005"/>
        </w:numPr>
      </w:pPr>
      <w:r>
        <w:t xml:space="preserve">TreatmentVariant</w:t>
      </w:r>
    </w:p>
    <w:p>
      <w:pPr>
        <w:pStyle w:val="Compact"/>
        <w:numPr>
          <w:ilvl w:val="0"/>
          <w:numId w:val="1005"/>
        </w:numPr>
      </w:pPr>
      <w:r>
        <w:t xml:space="preserve">TreatmentProtocol</w:t>
      </w:r>
    </w:p>
    <w:p>
      <w:pPr>
        <w:pStyle w:val="Compact"/>
        <w:numPr>
          <w:ilvl w:val="0"/>
          <w:numId w:val="1005"/>
        </w:numPr>
      </w:pPr>
      <w:r>
        <w:t xml:space="preserve">TreatmentPricing</w:t>
      </w:r>
    </w:p>
    <w:p>
      <w:pPr>
        <w:pStyle w:val="Compact"/>
        <w:numPr>
          <w:ilvl w:val="0"/>
          <w:numId w:val="1005"/>
        </w:numPr>
      </w:pPr>
      <w:r>
        <w:t xml:space="preserve">TreatmentResource</w:t>
      </w:r>
    </w:p>
    <w:p>
      <w:pPr>
        <w:pStyle w:val="FirstParagraph"/>
      </w:pPr>
      <w:r>
        <w:t xml:space="preserve">Las entidades del dominio no dependerán de React ni de Firebase.</w:t>
      </w:r>
    </w:p>
    <w:p>
      <w:r>
        <w:pict>
          <v:rect style="width:0;height:1.5pt" o:hralign="center" o:hrstd="t" o:hr="t"/>
        </w:pict>
      </w:r>
    </w:p>
    <w:bookmarkEnd w:id="29"/>
    <w:bookmarkStart w:id="30" w:name="value-objects"/>
    <w:p>
      <w:pPr>
        <w:pStyle w:val="Heading1"/>
      </w:pPr>
      <w:r>
        <w:t xml:space="preserve">Value Objects</w:t>
      </w:r>
    </w:p>
    <w:p>
      <w:pPr>
        <w:pStyle w:val="FirstParagraph"/>
      </w:pPr>
      <w:r>
        <w:t xml:space="preserve">Crear, como mínimo:</w:t>
      </w:r>
    </w:p>
    <w:p>
      <w:pPr>
        <w:pStyle w:val="Compact"/>
        <w:numPr>
          <w:ilvl w:val="0"/>
          <w:numId w:val="1006"/>
        </w:numPr>
      </w:pPr>
      <w:r>
        <w:t xml:space="preserve">TreatmentStatus</w:t>
      </w:r>
    </w:p>
    <w:p>
      <w:pPr>
        <w:pStyle w:val="Compact"/>
        <w:numPr>
          <w:ilvl w:val="0"/>
          <w:numId w:val="1006"/>
        </w:numPr>
      </w:pPr>
      <w:r>
        <w:t xml:space="preserve">TreatmentCategory</w:t>
      </w:r>
    </w:p>
    <w:p>
      <w:pPr>
        <w:pStyle w:val="Compact"/>
        <w:numPr>
          <w:ilvl w:val="0"/>
          <w:numId w:val="1006"/>
        </w:numPr>
      </w:pPr>
      <w:r>
        <w:t xml:space="preserve">Duration</w:t>
      </w:r>
    </w:p>
    <w:p>
      <w:pPr>
        <w:pStyle w:val="Compact"/>
        <w:numPr>
          <w:ilvl w:val="0"/>
          <w:numId w:val="1006"/>
        </w:numPr>
      </w:pPr>
      <w:r>
        <w:t xml:space="preserve">Money</w:t>
      </w:r>
    </w:p>
    <w:p>
      <w:pPr>
        <w:pStyle w:val="Compact"/>
        <w:numPr>
          <w:ilvl w:val="0"/>
          <w:numId w:val="1006"/>
        </w:numPr>
      </w:pPr>
      <w:r>
        <w:t xml:space="preserve">ProtocolVersion</w:t>
      </w:r>
    </w:p>
    <w:p>
      <w:pPr>
        <w:pStyle w:val="FirstParagraph"/>
      </w:pPr>
      <w:r>
        <w:t xml:space="preserve">Los Value Objects encapsularán validaciones y reglas propias.</w:t>
      </w:r>
    </w:p>
    <w:p>
      <w:r>
        <w:pict>
          <v:rect style="width:0;height:1.5pt" o:hralign="center" o:hrstd="t" o:hr="t"/>
        </w:pict>
      </w:r>
    </w:p>
    <w:bookmarkEnd w:id="30"/>
    <w:bookmarkStart w:id="31" w:name="casos-de-uso"/>
    <w:p>
      <w:pPr>
        <w:pStyle w:val="Heading1"/>
      </w:pPr>
      <w:r>
        <w:t xml:space="preserve">Casos de Uso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7"/>
        </w:numPr>
      </w:pPr>
      <w:r>
        <w:t xml:space="preserve">CreateTreatment</w:t>
      </w:r>
    </w:p>
    <w:p>
      <w:pPr>
        <w:pStyle w:val="Compact"/>
        <w:numPr>
          <w:ilvl w:val="0"/>
          <w:numId w:val="1007"/>
        </w:numPr>
      </w:pPr>
      <w:r>
        <w:t xml:space="preserve">UpdateTreatment</w:t>
      </w:r>
    </w:p>
    <w:p>
      <w:pPr>
        <w:pStyle w:val="Compact"/>
        <w:numPr>
          <w:ilvl w:val="0"/>
          <w:numId w:val="1007"/>
        </w:numPr>
      </w:pPr>
      <w:r>
        <w:t xml:space="preserve">ActivateTreatment</w:t>
      </w:r>
    </w:p>
    <w:p>
      <w:pPr>
        <w:pStyle w:val="Compact"/>
        <w:numPr>
          <w:ilvl w:val="0"/>
          <w:numId w:val="1007"/>
        </w:numPr>
      </w:pPr>
      <w:r>
        <w:t xml:space="preserve">DeactivateTreatment</w:t>
      </w:r>
    </w:p>
    <w:p>
      <w:pPr>
        <w:pStyle w:val="Compact"/>
        <w:numPr>
          <w:ilvl w:val="0"/>
          <w:numId w:val="1007"/>
        </w:numPr>
      </w:pPr>
      <w:r>
        <w:t xml:space="preserve">ArchiveTreatment</w:t>
      </w:r>
    </w:p>
    <w:p>
      <w:pPr>
        <w:pStyle w:val="Compact"/>
        <w:numPr>
          <w:ilvl w:val="0"/>
          <w:numId w:val="1007"/>
        </w:numPr>
      </w:pPr>
      <w:r>
        <w:t xml:space="preserve">CreateVariant</w:t>
      </w:r>
    </w:p>
    <w:p>
      <w:pPr>
        <w:pStyle w:val="Compact"/>
        <w:numPr>
          <w:ilvl w:val="0"/>
          <w:numId w:val="1007"/>
        </w:numPr>
      </w:pPr>
      <w:r>
        <w:t xml:space="preserve">UpdateVariant</w:t>
      </w:r>
    </w:p>
    <w:p>
      <w:pPr>
        <w:pStyle w:val="Compact"/>
        <w:numPr>
          <w:ilvl w:val="0"/>
          <w:numId w:val="1007"/>
        </w:numPr>
      </w:pPr>
      <w:r>
        <w:t xml:space="preserve">VersionProtocol</w:t>
      </w:r>
    </w:p>
    <w:p>
      <w:pPr>
        <w:pStyle w:val="Compact"/>
        <w:numPr>
          <w:ilvl w:val="0"/>
          <w:numId w:val="1007"/>
        </w:numPr>
      </w:pPr>
      <w:r>
        <w:t xml:space="preserve">AssignSpecialists</w:t>
      </w:r>
    </w:p>
    <w:p>
      <w:pPr>
        <w:pStyle w:val="Compact"/>
        <w:numPr>
          <w:ilvl w:val="0"/>
          <w:numId w:val="1007"/>
        </w:numPr>
      </w:pPr>
      <w:r>
        <w:t xml:space="preserve">AssignProducts</w:t>
      </w:r>
    </w:p>
    <w:p>
      <w:pPr>
        <w:pStyle w:val="Compact"/>
        <w:numPr>
          <w:ilvl w:val="0"/>
          <w:numId w:val="1007"/>
        </w:numPr>
      </w:pPr>
      <w:r>
        <w:t xml:space="preserve">SearchTreatments</w:t>
      </w:r>
    </w:p>
    <w:p>
      <w:pPr>
        <w:pStyle w:val="Compact"/>
        <w:numPr>
          <w:ilvl w:val="0"/>
          <w:numId w:val="1007"/>
        </w:numPr>
      </w:pPr>
      <w:r>
        <w:t xml:space="preserve">GetTreatmentRecommendations</w:t>
      </w:r>
    </w:p>
    <w:p>
      <w:pPr>
        <w:pStyle w:val="FirstParagraph"/>
      </w:pPr>
      <w:r>
        <w:t xml:space="preserve">Cada caso de uso deberá mantener una única responsabilidad.</w:t>
      </w:r>
    </w:p>
    <w:p>
      <w:r>
        <w:pict>
          <v:rect style="width:0;height:1.5pt" o:hralign="center" o:hrstd="t" o:hr="t"/>
        </w:pict>
      </w:r>
    </w:p>
    <w:bookmarkEnd w:id="31"/>
    <w:bookmarkStart w:id="32" w:name="repositorios"/>
    <w:p>
      <w:pPr>
        <w:pStyle w:val="Heading1"/>
      </w:pPr>
      <w:r>
        <w:t xml:space="preserve">Repositorios</w:t>
      </w:r>
    </w:p>
    <w:p>
      <w:pPr>
        <w:pStyle w:val="FirstParagraph"/>
      </w:pPr>
      <w:r>
        <w:t xml:space="preserve">Definir la interfaz:</w:t>
      </w:r>
    </w:p>
    <w:p>
      <w:pPr>
        <w:pStyle w:val="Compact"/>
        <w:numPr>
          <w:ilvl w:val="0"/>
          <w:numId w:val="1008"/>
        </w:numPr>
      </w:pPr>
      <w:r>
        <w:t xml:space="preserve">TreatmentRepository</w:t>
      </w:r>
    </w:p>
    <w:p>
      <w:pPr>
        <w:pStyle w:val="FirstParagraph"/>
      </w:pPr>
      <w:r>
        <w:t xml:space="preserve">La implementación concreta utilizará Firestore a través de</w:t>
      </w:r>
      <w:r>
        <w:t xml:space="preserve"> </w:t>
      </w:r>
      <w:r>
        <w:rPr>
          <w:rStyle w:val="VerbatimChar"/>
        </w:rPr>
        <w:t xml:space="preserve">packages/firebase</w:t>
      </w:r>
      <w:r>
        <w:t xml:space="preserve">.</w:t>
      </w:r>
    </w:p>
    <w:p>
      <w:pPr>
        <w:pStyle w:val="BodyText"/>
      </w:pPr>
      <w:r>
        <w:t xml:space="preserve">Los casos de uso nunca accederán directamente al SDK.</w:t>
      </w:r>
    </w:p>
    <w:p>
      <w:r>
        <w:pict>
          <v:rect style="width:0;height:1.5pt" o:hralign="center" o:hrstd="t" o:hr="t"/>
        </w:pict>
      </w:r>
    </w:p>
    <w:bookmarkEnd w:id="32"/>
    <w:bookmarkStart w:id="33" w:name="eventos"/>
    <w:p>
      <w:pPr>
        <w:pStyle w:val="Heading1"/>
      </w:pPr>
      <w:r>
        <w:t xml:space="preserve">Eventos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9"/>
        </w:numPr>
      </w:pPr>
      <w:r>
        <w:t xml:space="preserve">TreatmentCreated</w:t>
      </w:r>
    </w:p>
    <w:p>
      <w:pPr>
        <w:pStyle w:val="Compact"/>
        <w:numPr>
          <w:ilvl w:val="0"/>
          <w:numId w:val="1009"/>
        </w:numPr>
      </w:pPr>
      <w:r>
        <w:t xml:space="preserve">TreatmentUpdated</w:t>
      </w:r>
    </w:p>
    <w:p>
      <w:pPr>
        <w:pStyle w:val="Compact"/>
        <w:numPr>
          <w:ilvl w:val="0"/>
          <w:numId w:val="1009"/>
        </w:numPr>
      </w:pPr>
      <w:r>
        <w:t xml:space="preserve">TreatmentActivated</w:t>
      </w:r>
    </w:p>
    <w:p>
      <w:pPr>
        <w:pStyle w:val="Compact"/>
        <w:numPr>
          <w:ilvl w:val="0"/>
          <w:numId w:val="1009"/>
        </w:numPr>
      </w:pPr>
      <w:r>
        <w:t xml:space="preserve">TreatmentDeactivated</w:t>
      </w:r>
    </w:p>
    <w:p>
      <w:pPr>
        <w:pStyle w:val="Compact"/>
        <w:numPr>
          <w:ilvl w:val="0"/>
          <w:numId w:val="1009"/>
        </w:numPr>
      </w:pPr>
      <w:r>
        <w:t xml:space="preserve">TreatmentArchived</w:t>
      </w:r>
    </w:p>
    <w:p>
      <w:pPr>
        <w:pStyle w:val="Compact"/>
        <w:numPr>
          <w:ilvl w:val="0"/>
          <w:numId w:val="1009"/>
        </w:numPr>
      </w:pPr>
      <w:r>
        <w:t xml:space="preserve">TreatmentVariantCreated</w:t>
      </w:r>
    </w:p>
    <w:p>
      <w:pPr>
        <w:pStyle w:val="Compact"/>
        <w:numPr>
          <w:ilvl w:val="0"/>
          <w:numId w:val="1009"/>
        </w:numPr>
      </w:pPr>
      <w:r>
        <w:t xml:space="preserve">TreatmentProtocolVersioned</w:t>
      </w:r>
    </w:p>
    <w:p>
      <w:pPr>
        <w:pStyle w:val="Compact"/>
        <w:numPr>
          <w:ilvl w:val="0"/>
          <w:numId w:val="1009"/>
        </w:numPr>
      </w:pPr>
      <w:r>
        <w:t xml:space="preserve">TreatmentProductsUpdated</w:t>
      </w:r>
    </w:p>
    <w:p>
      <w:pPr>
        <w:pStyle w:val="FirstParagraph"/>
      </w:pPr>
      <w:r>
        <w:t xml:space="preserve">Todos los eventos seguirán la arquitectura definida en</w:t>
      </w:r>
      <w:r>
        <w:t xml:space="preserve"> </w:t>
      </w:r>
      <w:r>
        <w:rPr>
          <w:b/>
          <w:bCs/>
        </w:rPr>
        <w:t xml:space="preserve">A010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cloud-functions"/>
    <w:p>
      <w:pPr>
        <w:pStyle w:val="Heading1"/>
      </w:pPr>
      <w:r>
        <w:t xml:space="preserve">Cloud Functions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0"/>
        </w:numPr>
      </w:pPr>
      <w:r>
        <w:t xml:space="preserve">createTreatment</w:t>
      </w:r>
    </w:p>
    <w:p>
      <w:pPr>
        <w:pStyle w:val="Compact"/>
        <w:numPr>
          <w:ilvl w:val="0"/>
          <w:numId w:val="1010"/>
        </w:numPr>
      </w:pPr>
      <w:r>
        <w:t xml:space="preserve">updateTreatment</w:t>
      </w:r>
    </w:p>
    <w:p>
      <w:pPr>
        <w:pStyle w:val="Compact"/>
        <w:numPr>
          <w:ilvl w:val="0"/>
          <w:numId w:val="1010"/>
        </w:numPr>
      </w:pPr>
      <w:r>
        <w:t xml:space="preserve">activateTreatment</w:t>
      </w:r>
    </w:p>
    <w:p>
      <w:pPr>
        <w:pStyle w:val="Compact"/>
        <w:numPr>
          <w:ilvl w:val="0"/>
          <w:numId w:val="1010"/>
        </w:numPr>
      </w:pPr>
      <w:r>
        <w:t xml:space="preserve">deactivateTreatment</w:t>
      </w:r>
    </w:p>
    <w:p>
      <w:pPr>
        <w:pStyle w:val="Compact"/>
        <w:numPr>
          <w:ilvl w:val="0"/>
          <w:numId w:val="1010"/>
        </w:numPr>
      </w:pPr>
      <w:r>
        <w:t xml:space="preserve">archiveTreatment</w:t>
      </w:r>
    </w:p>
    <w:p>
      <w:pPr>
        <w:pStyle w:val="Compact"/>
        <w:numPr>
          <w:ilvl w:val="0"/>
          <w:numId w:val="1010"/>
        </w:numPr>
      </w:pPr>
      <w:r>
        <w:t xml:space="preserve">createVariant</w:t>
      </w:r>
    </w:p>
    <w:p>
      <w:pPr>
        <w:pStyle w:val="Compact"/>
        <w:numPr>
          <w:ilvl w:val="0"/>
          <w:numId w:val="1010"/>
        </w:numPr>
      </w:pPr>
      <w:r>
        <w:t xml:space="preserve">updateVariant</w:t>
      </w:r>
    </w:p>
    <w:p>
      <w:pPr>
        <w:pStyle w:val="Compact"/>
        <w:numPr>
          <w:ilvl w:val="0"/>
          <w:numId w:val="1010"/>
        </w:numPr>
      </w:pPr>
      <w:r>
        <w:t xml:space="preserve">versionProtocol</w:t>
      </w:r>
    </w:p>
    <w:p>
      <w:pPr>
        <w:pStyle w:val="Compact"/>
        <w:numPr>
          <w:ilvl w:val="0"/>
          <w:numId w:val="1010"/>
        </w:numPr>
      </w:pPr>
      <w:r>
        <w:t xml:space="preserve">assignSpecialists</w:t>
      </w:r>
    </w:p>
    <w:p>
      <w:pPr>
        <w:pStyle w:val="Compact"/>
        <w:numPr>
          <w:ilvl w:val="0"/>
          <w:numId w:val="1010"/>
        </w:numPr>
      </w:pPr>
      <w:r>
        <w:t xml:space="preserve">assignProducts</w:t>
      </w:r>
    </w:p>
    <w:p>
      <w:pPr>
        <w:pStyle w:val="FirstParagraph"/>
      </w:pPr>
      <w:r>
        <w:t xml:space="preserve">Todas deberán:</w:t>
      </w:r>
    </w:p>
    <w:p>
      <w:pPr>
        <w:pStyle w:val="Compact"/>
        <w:numPr>
          <w:ilvl w:val="0"/>
          <w:numId w:val="1011"/>
        </w:numPr>
      </w:pPr>
      <w:r>
        <w:t xml:space="preserve">Validar permisos.</w:t>
      </w:r>
    </w:p>
    <w:p>
      <w:pPr>
        <w:pStyle w:val="Compact"/>
        <w:numPr>
          <w:ilvl w:val="0"/>
          <w:numId w:val="1011"/>
        </w:numPr>
      </w:pPr>
      <w:r>
        <w:t xml:space="preserve">Registrar auditoría.</w:t>
      </w:r>
    </w:p>
    <w:p>
      <w:pPr>
        <w:pStyle w:val="Compact"/>
        <w:numPr>
          <w:ilvl w:val="0"/>
          <w:numId w:val="1011"/>
        </w:numPr>
      </w:pPr>
      <w:r>
        <w:t xml:space="preserve">Publicar eventos.</w:t>
      </w:r>
    </w:p>
    <w:p>
      <w:pPr>
        <w:pStyle w:val="Compact"/>
        <w:numPr>
          <w:ilvl w:val="0"/>
          <w:numId w:val="1011"/>
        </w:numPr>
      </w:pPr>
      <w:r>
        <w:t xml:space="preserve">Utilizar Result Pattern.</w:t>
      </w:r>
    </w:p>
    <w:p>
      <w:r>
        <w:pict>
          <v:rect style="width:0;height:1.5pt" o:hralign="center" o:hrstd="t" o:hr="t"/>
        </w:pict>
      </w:r>
    </w:p>
    <w:bookmarkEnd w:id="34"/>
    <w:bookmarkStart w:id="35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Desarrollar:</w:t>
      </w:r>
    </w:p>
    <w:p>
      <w:pPr>
        <w:pStyle w:val="Compact"/>
        <w:numPr>
          <w:ilvl w:val="0"/>
          <w:numId w:val="1012"/>
        </w:numPr>
      </w:pPr>
      <w:r>
        <w:t xml:space="preserve">TreatmentWorkspace</w:t>
      </w:r>
    </w:p>
    <w:p>
      <w:pPr>
        <w:pStyle w:val="Compact"/>
        <w:numPr>
          <w:ilvl w:val="0"/>
          <w:numId w:val="1012"/>
        </w:numPr>
      </w:pPr>
      <w:r>
        <w:t xml:space="preserve">TreatmentList</w:t>
      </w:r>
    </w:p>
    <w:p>
      <w:pPr>
        <w:pStyle w:val="Compact"/>
        <w:numPr>
          <w:ilvl w:val="0"/>
          <w:numId w:val="1012"/>
        </w:numPr>
      </w:pPr>
      <w:r>
        <w:t xml:space="preserve">TreatmentDetail</w:t>
      </w:r>
    </w:p>
    <w:p>
      <w:pPr>
        <w:pStyle w:val="Compact"/>
        <w:numPr>
          <w:ilvl w:val="0"/>
          <w:numId w:val="1012"/>
        </w:numPr>
      </w:pPr>
      <w:r>
        <w:t xml:space="preserve">TreatmentEditor</w:t>
      </w:r>
    </w:p>
    <w:p>
      <w:pPr>
        <w:pStyle w:val="Compact"/>
        <w:numPr>
          <w:ilvl w:val="0"/>
          <w:numId w:val="1012"/>
        </w:numPr>
      </w:pPr>
      <w:r>
        <w:t xml:space="preserve">ProtocolEditor</w:t>
      </w:r>
    </w:p>
    <w:p>
      <w:pPr>
        <w:pStyle w:val="Compact"/>
        <w:numPr>
          <w:ilvl w:val="0"/>
          <w:numId w:val="1012"/>
        </w:numPr>
      </w:pPr>
      <w:r>
        <w:t xml:space="preserve">VariantManager</w:t>
      </w:r>
    </w:p>
    <w:p>
      <w:pPr>
        <w:pStyle w:val="Compact"/>
        <w:numPr>
          <w:ilvl w:val="0"/>
          <w:numId w:val="1012"/>
        </w:numPr>
      </w:pPr>
      <w:r>
        <w:t xml:space="preserve">TreatmentFilters</w:t>
      </w:r>
    </w:p>
    <w:p>
      <w:pPr>
        <w:pStyle w:val="Compact"/>
        <w:numPr>
          <w:ilvl w:val="0"/>
          <w:numId w:val="1012"/>
        </w:numPr>
      </w:pPr>
      <w:r>
        <w:t xml:space="preserve">TreatmentSearchBar</w:t>
      </w:r>
    </w:p>
    <w:p>
      <w:pPr>
        <w:pStyle w:val="FirstParagraph"/>
      </w:pPr>
      <w:r>
        <w:t xml:space="preserve">Todos reutilizarán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hooks"/>
    <w:p>
      <w:pPr>
        <w:pStyle w:val="Heading1"/>
      </w:pPr>
      <w:r>
        <w:t xml:space="preserve">Hooks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3"/>
        </w:numPr>
      </w:pPr>
      <w:r>
        <w:t xml:space="preserve">useTreatments</w:t>
      </w:r>
    </w:p>
    <w:p>
      <w:pPr>
        <w:pStyle w:val="Compact"/>
        <w:numPr>
          <w:ilvl w:val="0"/>
          <w:numId w:val="1013"/>
        </w:numPr>
      </w:pPr>
      <w:r>
        <w:t xml:space="preserve">useTreatment</w:t>
      </w:r>
    </w:p>
    <w:p>
      <w:pPr>
        <w:pStyle w:val="Compact"/>
        <w:numPr>
          <w:ilvl w:val="0"/>
          <w:numId w:val="1013"/>
        </w:numPr>
      </w:pPr>
      <w:r>
        <w:t xml:space="preserve">useCreateTreatment</w:t>
      </w:r>
    </w:p>
    <w:p>
      <w:pPr>
        <w:pStyle w:val="Compact"/>
        <w:numPr>
          <w:ilvl w:val="0"/>
          <w:numId w:val="1013"/>
        </w:numPr>
      </w:pPr>
      <w:r>
        <w:t xml:space="preserve">useUpdateTreatment</w:t>
      </w:r>
    </w:p>
    <w:p>
      <w:pPr>
        <w:pStyle w:val="Compact"/>
        <w:numPr>
          <w:ilvl w:val="0"/>
          <w:numId w:val="1013"/>
        </w:numPr>
      </w:pPr>
      <w:r>
        <w:t xml:space="preserve">useActivateTreatment</w:t>
      </w:r>
    </w:p>
    <w:p>
      <w:pPr>
        <w:pStyle w:val="Compact"/>
        <w:numPr>
          <w:ilvl w:val="0"/>
          <w:numId w:val="1013"/>
        </w:numPr>
      </w:pPr>
      <w:r>
        <w:t xml:space="preserve">useDeactivateTreatment</w:t>
      </w:r>
    </w:p>
    <w:p>
      <w:pPr>
        <w:pStyle w:val="Compact"/>
        <w:numPr>
          <w:ilvl w:val="0"/>
          <w:numId w:val="1013"/>
        </w:numPr>
      </w:pPr>
      <w:r>
        <w:t xml:space="preserve">useTreatmentVariants</w:t>
      </w:r>
    </w:p>
    <w:p>
      <w:pPr>
        <w:pStyle w:val="Compact"/>
        <w:numPr>
          <w:ilvl w:val="0"/>
          <w:numId w:val="1013"/>
        </w:numPr>
      </w:pPr>
      <w:r>
        <w:t xml:space="preserve">useProtocolVersions</w:t>
      </w:r>
    </w:p>
    <w:p>
      <w:pPr>
        <w:pStyle w:val="FirstParagraph"/>
      </w:pPr>
      <w:r>
        <w:t xml:space="preserve">Los hooks consumirán servicios de aplicación o casos de uso.</w:t>
      </w:r>
    </w:p>
    <w:p>
      <w:r>
        <w:pict>
          <v:rect style="width:0;height:1.5pt" o:hralign="center" o:hrstd="t" o:hr="t"/>
        </w:pict>
      </w:r>
    </w:p>
    <w:bookmarkEnd w:id="36"/>
    <w:bookmarkStart w:id="37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Validar interacción con:</w:t>
      </w:r>
    </w:p>
    <w:p>
      <w:pPr>
        <w:pStyle w:val="Compact"/>
        <w:numPr>
          <w:ilvl w:val="0"/>
          <w:numId w:val="1014"/>
        </w:numPr>
      </w:pPr>
      <w:r>
        <w:t xml:space="preserve">Appointments.</w:t>
      </w:r>
    </w:p>
    <w:p>
      <w:pPr>
        <w:pStyle w:val="Compact"/>
        <w:numPr>
          <w:ilvl w:val="0"/>
          <w:numId w:val="1014"/>
        </w:numPr>
      </w:pPr>
      <w:r>
        <w:t xml:space="preserve">Specialists.</w:t>
      </w:r>
    </w:p>
    <w:p>
      <w:pPr>
        <w:pStyle w:val="Compact"/>
        <w:numPr>
          <w:ilvl w:val="0"/>
          <w:numId w:val="1014"/>
        </w:numPr>
      </w:pPr>
      <w:r>
        <w:t xml:space="preserve">Inventory.</w:t>
      </w:r>
    </w:p>
    <w:p>
      <w:pPr>
        <w:pStyle w:val="Compact"/>
        <w:numPr>
          <w:ilvl w:val="0"/>
          <w:numId w:val="1014"/>
        </w:numPr>
      </w:pPr>
      <w:r>
        <w:t xml:space="preserve">CRM.</w:t>
      </w:r>
    </w:p>
    <w:p>
      <w:pPr>
        <w:pStyle w:val="Compact"/>
        <w:numPr>
          <w:ilvl w:val="0"/>
          <w:numId w:val="1014"/>
        </w:numPr>
      </w:pPr>
      <w:r>
        <w:t xml:space="preserve">Analytics.</w:t>
      </w:r>
    </w:p>
    <w:p>
      <w:pPr>
        <w:pStyle w:val="Compact"/>
        <w:numPr>
          <w:ilvl w:val="0"/>
          <w:numId w:val="1014"/>
        </w:numPr>
      </w:pPr>
      <w:r>
        <w:t xml:space="preserve">AI.</w:t>
      </w:r>
    </w:p>
    <w:p>
      <w:pPr>
        <w:pStyle w:val="Compact"/>
        <w:numPr>
          <w:ilvl w:val="0"/>
          <w:numId w:val="1014"/>
        </w:numPr>
      </w:pPr>
      <w:r>
        <w:t xml:space="preserve">Portal Público.</w:t>
      </w:r>
    </w:p>
    <w:p>
      <w:pPr>
        <w:pStyle w:val="FirstParagraph"/>
      </w:pPr>
      <w:r>
        <w:t xml:space="preserve">Las integraciones deberán realizarse mediante contratos y eventos.</w:t>
      </w:r>
    </w:p>
    <w:p>
      <w:r>
        <w:pict>
          <v:rect style="width:0;height:1.5pt" o:hralign="center" o:hrstd="t" o:hr="t"/>
        </w:pict>
      </w:r>
    </w:p>
    <w:bookmarkEnd w:id="37"/>
    <w:bookmarkStart w:id="44" w:name="fases-de-implementación"/>
    <w:p>
      <w:pPr>
        <w:pStyle w:val="Heading1"/>
      </w:pPr>
      <w:r>
        <w:t xml:space="preserve">Fases de Implementación</w:t>
      </w:r>
    </w:p>
    <w:bookmarkStart w:id="38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15"/>
        </w:numPr>
      </w:pPr>
      <w:r>
        <w:t xml:space="preserve">Entidades.</w:t>
      </w:r>
    </w:p>
    <w:p>
      <w:pPr>
        <w:pStyle w:val="Compact"/>
        <w:numPr>
          <w:ilvl w:val="0"/>
          <w:numId w:val="1015"/>
        </w:numPr>
      </w:pPr>
      <w:r>
        <w:t xml:space="preserve">Value Objects.</w:t>
      </w:r>
    </w:p>
    <w:p>
      <w:pPr>
        <w:pStyle w:val="Compact"/>
        <w:numPr>
          <w:ilvl w:val="0"/>
          <w:numId w:val="1015"/>
        </w:numPr>
      </w:pPr>
      <w:r>
        <w:t xml:space="preserve">Interfaces.</w:t>
      </w:r>
    </w:p>
    <w:p>
      <w:pPr>
        <w:pStyle w:val="Compact"/>
        <w:numPr>
          <w:ilvl w:val="0"/>
          <w:numId w:val="1015"/>
        </w:numPr>
      </w:pPr>
      <w:r>
        <w:t xml:space="preserve">DTOs.</w:t>
      </w:r>
    </w:p>
    <w:p>
      <w:r>
        <w:pict>
          <v:rect style="width:0;height:1.5pt" o:hralign="center" o:hrstd="t" o:hr="t"/>
        </w:pict>
      </w:r>
    </w:p>
    <w:bookmarkEnd w:id="38"/>
    <w:bookmarkStart w:id="39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16"/>
        </w:numPr>
      </w:pPr>
      <w:r>
        <w:t xml:space="preserve">Repositorios.</w:t>
      </w:r>
    </w:p>
    <w:p>
      <w:pPr>
        <w:pStyle w:val="Compact"/>
        <w:numPr>
          <w:ilvl w:val="0"/>
          <w:numId w:val="1016"/>
        </w:numPr>
      </w:pPr>
      <w:r>
        <w:t xml:space="preserve">Conversores.</w:t>
      </w:r>
    </w:p>
    <w:p>
      <w:pPr>
        <w:pStyle w:val="Compact"/>
        <w:numPr>
          <w:ilvl w:val="0"/>
          <w:numId w:val="1016"/>
        </w:numPr>
      </w:pPr>
      <w:r>
        <w:t xml:space="preserve">Adaptadores Firestore.</w:t>
      </w:r>
    </w:p>
    <w:p>
      <w:r>
        <w:pict>
          <v:rect style="width:0;height:1.5pt" o:hralign="center" o:hrstd="t" o:hr="t"/>
        </w:pict>
      </w:r>
    </w:p>
    <w:bookmarkEnd w:id="39"/>
    <w:bookmarkStart w:id="40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17"/>
        </w:numPr>
      </w:pPr>
      <w:r>
        <w:t xml:space="preserve">Casos de uso.</w:t>
      </w:r>
    </w:p>
    <w:p>
      <w:pPr>
        <w:pStyle w:val="Compact"/>
        <w:numPr>
          <w:ilvl w:val="0"/>
          <w:numId w:val="1017"/>
        </w:numPr>
      </w:pPr>
      <w:r>
        <w:t xml:space="preserve">Eventos.</w:t>
      </w:r>
    </w:p>
    <w:p>
      <w:r>
        <w:pict>
          <v:rect style="width:0;height:1.5pt" o:hralign="center" o:hrstd="t" o:hr="t"/>
        </w:pict>
      </w:r>
    </w:p>
    <w:bookmarkEnd w:id="40"/>
    <w:bookmarkStart w:id="41" w:name="fase-4"/>
    <w:p>
      <w:pPr>
        <w:pStyle w:val="Heading2"/>
      </w:pPr>
      <w:r>
        <w:t xml:space="preserve">Fase 4</w:t>
      </w:r>
    </w:p>
    <w:p>
      <w:pPr>
        <w:pStyle w:val="Compact"/>
        <w:numPr>
          <w:ilvl w:val="0"/>
          <w:numId w:val="1018"/>
        </w:numPr>
      </w:pPr>
      <w:r>
        <w:t xml:space="preserve">Cloud Functions.</w:t>
      </w:r>
    </w:p>
    <w:p>
      <w:r>
        <w:pict>
          <v:rect style="width:0;height:1.5pt" o:hralign="center" o:hrstd="t" o:hr="t"/>
        </w:pict>
      </w:r>
    </w:p>
    <w:bookmarkEnd w:id="41"/>
    <w:bookmarkStart w:id="42" w:name="fase-5"/>
    <w:p>
      <w:pPr>
        <w:pStyle w:val="Heading2"/>
      </w:pPr>
      <w:r>
        <w:t xml:space="preserve">Fase 5</w:t>
      </w:r>
    </w:p>
    <w:p>
      <w:pPr>
        <w:pStyle w:val="Compact"/>
        <w:numPr>
          <w:ilvl w:val="0"/>
          <w:numId w:val="1019"/>
        </w:numPr>
      </w:pPr>
      <w:r>
        <w:t xml:space="preserve">Workspace.</w:t>
      </w:r>
    </w:p>
    <w:p>
      <w:pPr>
        <w:pStyle w:val="Compact"/>
        <w:numPr>
          <w:ilvl w:val="0"/>
          <w:numId w:val="1019"/>
        </w:numPr>
      </w:pPr>
      <w:r>
        <w:t xml:space="preserve">Componentes.</w:t>
      </w:r>
    </w:p>
    <w:p>
      <w:pPr>
        <w:pStyle w:val="Compact"/>
        <w:numPr>
          <w:ilvl w:val="0"/>
          <w:numId w:val="1019"/>
        </w:numPr>
      </w:pPr>
      <w:r>
        <w:t xml:space="preserve">Formularios.</w:t>
      </w:r>
    </w:p>
    <w:p>
      <w:pPr>
        <w:pStyle w:val="Compact"/>
        <w:numPr>
          <w:ilvl w:val="0"/>
          <w:numId w:val="1019"/>
        </w:numPr>
      </w:pPr>
      <w:r>
        <w:t xml:space="preserve">Hooks.</w:t>
      </w:r>
    </w:p>
    <w:p>
      <w:r>
        <w:pict>
          <v:rect style="width:0;height:1.5pt" o:hralign="center" o:hrstd="t" o:hr="t"/>
        </w:pict>
      </w:r>
    </w:p>
    <w:bookmarkEnd w:id="42"/>
    <w:bookmarkStart w:id="43" w:name="fase-6"/>
    <w:p>
      <w:pPr>
        <w:pStyle w:val="Heading2"/>
      </w:pPr>
      <w:r>
        <w:t xml:space="preserve">Fase 6</w:t>
      </w:r>
    </w:p>
    <w:p>
      <w:pPr>
        <w:pStyle w:val="Compact"/>
        <w:numPr>
          <w:ilvl w:val="0"/>
          <w:numId w:val="1020"/>
        </w:numPr>
      </w:pPr>
      <w:r>
        <w:t xml:space="preserve">Integración.</w:t>
      </w:r>
    </w:p>
    <w:p>
      <w:pPr>
        <w:pStyle w:val="Compact"/>
        <w:numPr>
          <w:ilvl w:val="0"/>
          <w:numId w:val="1020"/>
        </w:numPr>
      </w:pPr>
      <w:r>
        <w:t xml:space="preserve">Pruebas.</w:t>
      </w:r>
    </w:p>
    <w:p>
      <w:pPr>
        <w:pStyle w:val="Compact"/>
        <w:numPr>
          <w:ilvl w:val="0"/>
          <w:numId w:val="1020"/>
        </w:numPr>
      </w:pPr>
      <w:r>
        <w:t xml:space="preserve">Optimización.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finition-of-ready-dor"/>
    <w:p>
      <w:pPr>
        <w:pStyle w:val="Heading1"/>
      </w:pPr>
      <w:r>
        <w:t xml:space="preserve">Definition of Ready (DoR)</w:t>
      </w:r>
    </w:p>
    <w:p>
      <w:pPr>
        <w:pStyle w:val="FirstParagraph"/>
      </w:pPr>
      <w:r>
        <w:t xml:space="preserve">Antes de iniciar una tarea deberá existir:</w:t>
      </w:r>
    </w:p>
    <w:p>
      <w:pPr>
        <w:pStyle w:val="Compact"/>
        <w:numPr>
          <w:ilvl w:val="0"/>
          <w:numId w:val="1021"/>
        </w:numPr>
      </w:pPr>
      <w:r>
        <w:t xml:space="preserve">Documentación aprobada.</w:t>
      </w:r>
    </w:p>
    <w:p>
      <w:pPr>
        <w:pStyle w:val="Compact"/>
        <w:numPr>
          <w:ilvl w:val="0"/>
          <w:numId w:val="1021"/>
        </w:numPr>
      </w:pPr>
      <w:r>
        <w:t xml:space="preserve">Dependencias disponibles.</w:t>
      </w:r>
    </w:p>
    <w:p>
      <w:pPr>
        <w:pStyle w:val="Compact"/>
        <w:numPr>
          <w:ilvl w:val="0"/>
          <w:numId w:val="1021"/>
        </w:numPr>
      </w:pPr>
      <w:r>
        <w:t xml:space="preserve">Contratos definidos.</w:t>
      </w:r>
    </w:p>
    <w:p>
      <w:pPr>
        <w:pStyle w:val="Compact"/>
        <w:numPr>
          <w:ilvl w:val="0"/>
          <w:numId w:val="1021"/>
        </w:numPr>
      </w:pPr>
      <w:r>
        <w:t xml:space="preserve">Riesgos identificados.</w:t>
      </w:r>
    </w:p>
    <w:p>
      <w:pPr>
        <w:pStyle w:val="Compact"/>
        <w:numPr>
          <w:ilvl w:val="0"/>
          <w:numId w:val="1021"/>
        </w:numPr>
      </w:pPr>
      <w:r>
        <w:t xml:space="preserve">Criterios de aceptación.</w:t>
      </w:r>
    </w:p>
    <w:p>
      <w:r>
        <w:pict>
          <v:rect style="width:0;height:1.5pt" o:hralign="center" o:hrstd="t" o:hr="t"/>
        </w:pict>
      </w:r>
    </w:p>
    <w:bookmarkEnd w:id="45"/>
    <w:bookmarkStart w:id="46" w:name="definition-of-done-dod"/>
    <w:p>
      <w:pPr>
        <w:pStyle w:val="Heading1"/>
      </w:pPr>
      <w:r>
        <w:t xml:space="preserve">Definition of Done (DoD)</w:t>
      </w:r>
    </w:p>
    <w:p>
      <w:pPr>
        <w:pStyle w:val="FirstParagraph"/>
      </w:pPr>
      <w:r>
        <w:t xml:space="preserve">Una tarea se considerará finalizada cuando:</w:t>
      </w:r>
    </w:p>
    <w:p>
      <w:pPr>
        <w:pStyle w:val="Compact"/>
        <w:numPr>
          <w:ilvl w:val="0"/>
          <w:numId w:val="1022"/>
        </w:numPr>
      </w:pPr>
      <w:r>
        <w:t xml:space="preserve">Compile sin errores.</w:t>
      </w:r>
    </w:p>
    <w:p>
      <w:pPr>
        <w:pStyle w:val="Compact"/>
        <w:numPr>
          <w:ilvl w:val="0"/>
          <w:numId w:val="1022"/>
        </w:numPr>
      </w:pPr>
      <w:r>
        <w:t xml:space="preserve">Pase todas las pruebas.</w:t>
      </w:r>
    </w:p>
    <w:p>
      <w:pPr>
        <w:pStyle w:val="Compact"/>
        <w:numPr>
          <w:ilvl w:val="0"/>
          <w:numId w:val="1022"/>
        </w:numPr>
      </w:pPr>
      <w:r>
        <w:t xml:space="preserve">Cumpla la cobertura mínima.</w:t>
      </w:r>
    </w:p>
    <w:p>
      <w:pPr>
        <w:pStyle w:val="Compact"/>
        <w:numPr>
          <w:ilvl w:val="0"/>
          <w:numId w:val="1022"/>
        </w:numPr>
      </w:pPr>
      <w:r>
        <w:t xml:space="preserve">No presente errores críticos.</w:t>
      </w:r>
    </w:p>
    <w:p>
      <w:pPr>
        <w:pStyle w:val="Compact"/>
        <w:numPr>
          <w:ilvl w:val="0"/>
          <w:numId w:val="1022"/>
        </w:numPr>
      </w:pPr>
      <w:r>
        <w:t xml:space="preserve">La documentación esté actualizada.</w:t>
      </w:r>
    </w:p>
    <w:p>
      <w:pPr>
        <w:pStyle w:val="Compact"/>
        <w:numPr>
          <w:ilvl w:val="0"/>
          <w:numId w:val="1022"/>
        </w:numPr>
      </w:pPr>
      <w:r>
        <w:t xml:space="preserve">La revisión arquitectónica sea aprobada.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-arquitectónico"/>
    <w:p>
      <w:pPr>
        <w:pStyle w:val="Heading1"/>
      </w:pPr>
      <w:r>
        <w:t xml:space="preserve">Checklist Arquitectónico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23"/>
        </w:numPr>
      </w:pPr>
      <w:r>
        <w:t xml:space="preserve">Clean Architecture.</w:t>
      </w:r>
    </w:p>
    <w:p>
      <w:pPr>
        <w:pStyle w:val="Compact"/>
        <w:numPr>
          <w:ilvl w:val="0"/>
          <w:numId w:val="1023"/>
        </w:numPr>
      </w:pPr>
      <w:r>
        <w:t xml:space="preserve">SOLID.</w:t>
      </w:r>
    </w:p>
    <w:p>
      <w:pPr>
        <w:pStyle w:val="Compact"/>
        <w:numPr>
          <w:ilvl w:val="0"/>
          <w:numId w:val="1023"/>
        </w:numPr>
      </w:pPr>
      <w:r>
        <w:t xml:space="preserve">Separación de responsabilidades.</w:t>
      </w:r>
    </w:p>
    <w:p>
      <w:pPr>
        <w:pStyle w:val="Compact"/>
        <w:numPr>
          <w:ilvl w:val="0"/>
          <w:numId w:val="1023"/>
        </w:numPr>
      </w:pPr>
      <w:r>
        <w:t xml:space="preserve">Event Driven.</w:t>
      </w:r>
    </w:p>
    <w:p>
      <w:pPr>
        <w:pStyle w:val="Compact"/>
        <w:numPr>
          <w:ilvl w:val="0"/>
          <w:numId w:val="1023"/>
        </w:numPr>
      </w:pPr>
      <w:r>
        <w:t xml:space="preserve">Logging.</w:t>
      </w:r>
    </w:p>
    <w:p>
      <w:pPr>
        <w:pStyle w:val="Compact"/>
        <w:numPr>
          <w:ilvl w:val="0"/>
          <w:numId w:val="1023"/>
        </w:numPr>
      </w:pPr>
      <w:r>
        <w:t xml:space="preserve">Observabilidad.</w:t>
      </w:r>
    </w:p>
    <w:p>
      <w:pPr>
        <w:pStyle w:val="Compact"/>
        <w:numPr>
          <w:ilvl w:val="0"/>
          <w:numId w:val="1023"/>
        </w:numPr>
      </w:pPr>
      <w:r>
        <w:t xml:space="preserve">Seguridad.</w:t>
      </w:r>
    </w:p>
    <w:p>
      <w:pPr>
        <w:pStyle w:val="Compact"/>
        <w:numPr>
          <w:ilvl w:val="0"/>
          <w:numId w:val="1023"/>
        </w:numPr>
      </w:pPr>
      <w:r>
        <w:t xml:space="preserve">Optimización Firestore.</w:t>
      </w:r>
    </w:p>
    <w:p>
      <w:r>
        <w:pict>
          <v:rect style="width:0;height:1.5pt" o:hralign="center" o:hrstd="t" o:hr="t"/>
        </w:pict>
      </w:r>
    </w:p>
    <w:bookmarkEnd w:id="47"/>
    <w:bookmarkStart w:id="48" w:name="checklist-de-código"/>
    <w:p>
      <w:pPr>
        <w:pStyle w:val="Heading1"/>
      </w:pPr>
      <w:r>
        <w:t xml:space="preserve">Checklist de Código</w:t>
      </w:r>
    </w:p>
    <w:p>
      <w:pPr>
        <w:pStyle w:val="FirstParagraph"/>
      </w:pPr>
      <w:r>
        <w:t xml:space="preserve">Revisar:</w:t>
      </w:r>
    </w:p>
    <w:p>
      <w:pPr>
        <w:pStyle w:val="Compact"/>
        <w:numPr>
          <w:ilvl w:val="0"/>
          <w:numId w:val="1024"/>
        </w:numPr>
      </w:pPr>
      <w:r>
        <w:t xml:space="preserve">Tipado estricto.</w:t>
      </w:r>
    </w:p>
    <w:p>
      <w:pPr>
        <w:pStyle w:val="Compact"/>
        <w:numPr>
          <w:ilvl w:val="0"/>
          <w:numId w:val="1024"/>
        </w:numPr>
      </w:pPr>
      <w:r>
        <w:t xml:space="preserve">Legibilidad.</w:t>
      </w:r>
    </w:p>
    <w:p>
      <w:pPr>
        <w:pStyle w:val="Compact"/>
        <w:numPr>
          <w:ilvl w:val="0"/>
          <w:numId w:val="1024"/>
        </w:numPr>
      </w:pPr>
      <w:r>
        <w:t xml:space="preserve">Reutilización.</w:t>
      </w:r>
    </w:p>
    <w:p>
      <w:pPr>
        <w:pStyle w:val="Compact"/>
        <w:numPr>
          <w:ilvl w:val="0"/>
          <w:numId w:val="1024"/>
        </w:numPr>
      </w:pPr>
      <w:r>
        <w:t xml:space="preserve">Ausencia de duplicación.</w:t>
      </w:r>
    </w:p>
    <w:p>
      <w:pPr>
        <w:pStyle w:val="Compact"/>
        <w:numPr>
          <w:ilvl w:val="0"/>
          <w:numId w:val="1024"/>
        </w:numPr>
      </w:pPr>
      <w:r>
        <w:t xml:space="preserve">Documentación pública.</w:t>
      </w:r>
    </w:p>
    <w:p>
      <w:pPr>
        <w:pStyle w:val="Compact"/>
        <w:numPr>
          <w:ilvl w:val="0"/>
          <w:numId w:val="1024"/>
        </w:numPr>
      </w:pPr>
      <w:r>
        <w:t xml:space="preserve">Cobertura.</w:t>
      </w:r>
    </w:p>
    <w:p>
      <w:r>
        <w:pict>
          <v:rect style="width:0;height:1.5pt" o:hralign="center" o:hrstd="t" o:hr="t"/>
        </w:pict>
      </w:r>
    </w:p>
    <w:bookmarkEnd w:id="48"/>
    <w:bookmarkStart w:id="49" w:name="checklist-de-rendimiento"/>
    <w:p>
      <w:pPr>
        <w:pStyle w:val="Heading1"/>
      </w:pPr>
      <w:r>
        <w:t xml:space="preserve">Checklist de Rendimiento</w:t>
      </w:r>
    </w:p>
    <w:p>
      <w:pPr>
        <w:pStyle w:val="FirstParagraph"/>
      </w:pPr>
      <w:r>
        <w:t xml:space="preserve">Comprobar:</w:t>
      </w:r>
    </w:p>
    <w:p>
      <w:pPr>
        <w:pStyle w:val="Compact"/>
        <w:numPr>
          <w:ilvl w:val="0"/>
          <w:numId w:val="1025"/>
        </w:numPr>
      </w:pPr>
      <w:r>
        <w:t xml:space="preserve">Consultas eficientes.</w:t>
      </w:r>
    </w:p>
    <w:p>
      <w:pPr>
        <w:pStyle w:val="Compact"/>
        <w:numPr>
          <w:ilvl w:val="0"/>
          <w:numId w:val="1025"/>
        </w:numPr>
      </w:pPr>
      <w:r>
        <w:t xml:space="preserve">Índices adecuados.</w:t>
      </w:r>
    </w:p>
    <w:p>
      <w:pPr>
        <w:pStyle w:val="Compact"/>
        <w:numPr>
          <w:ilvl w:val="0"/>
          <w:numId w:val="1025"/>
        </w:numPr>
      </w:pPr>
      <w:r>
        <w:t xml:space="preserve">Renderizados optimizados.</w:t>
      </w:r>
    </w:p>
    <w:p>
      <w:pPr>
        <w:pStyle w:val="Compact"/>
        <w:numPr>
          <w:ilvl w:val="0"/>
          <w:numId w:val="1025"/>
        </w:numPr>
      </w:pPr>
      <w:r>
        <w:t xml:space="preserve">Carga progresiva.</w:t>
      </w:r>
    </w:p>
    <w:p>
      <w:pPr>
        <w:pStyle w:val="Compact"/>
        <w:numPr>
          <w:ilvl w:val="0"/>
          <w:numId w:val="1025"/>
        </w:numPr>
      </w:pPr>
      <w:r>
        <w:t xml:space="preserve">Uso correcto de caché.</w:t>
      </w:r>
    </w:p>
    <w:p>
      <w:r>
        <w:pict>
          <v:rect style="width:0;height:1.5pt" o:hralign="center" o:hrstd="t" o:hr="t"/>
        </w:pict>
      </w:r>
    </w:p>
    <w:bookmarkEnd w:id="49"/>
    <w:bookmarkStart w:id="50" w:name="checklist-de-seguridad"/>
    <w:p>
      <w:pPr>
        <w:pStyle w:val="Heading1"/>
      </w:pPr>
      <w:r>
        <w:t xml:space="preserve">Checklist de Seguridad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26"/>
        </w:numPr>
      </w:pPr>
      <w:r>
        <w:t xml:space="preserve">Security Rules.</w:t>
      </w:r>
    </w:p>
    <w:p>
      <w:pPr>
        <w:pStyle w:val="Compact"/>
        <w:numPr>
          <w:ilvl w:val="0"/>
          <w:numId w:val="1026"/>
        </w:numPr>
      </w:pPr>
      <w:r>
        <w:t xml:space="preserve">Cloud Functions.</w:t>
      </w:r>
    </w:p>
    <w:p>
      <w:pPr>
        <w:pStyle w:val="Compact"/>
        <w:numPr>
          <w:ilvl w:val="0"/>
          <w:numId w:val="1026"/>
        </w:numPr>
      </w:pPr>
      <w:r>
        <w:t xml:space="preserve">Permisos.</w:t>
      </w:r>
    </w:p>
    <w:p>
      <w:pPr>
        <w:pStyle w:val="Compact"/>
        <w:numPr>
          <w:ilvl w:val="0"/>
          <w:numId w:val="1026"/>
        </w:numPr>
      </w:pPr>
      <w:r>
        <w:t xml:space="preserve">Multi-Tenant.</w:t>
      </w:r>
    </w:p>
    <w:p>
      <w:pPr>
        <w:pStyle w:val="Compact"/>
        <w:numPr>
          <w:ilvl w:val="0"/>
          <w:numId w:val="1026"/>
        </w:numPr>
      </w:pPr>
      <w:r>
        <w:t xml:space="preserve">Protección de campos críticos.</w:t>
      </w:r>
    </w:p>
    <w:p>
      <w:r>
        <w:pict>
          <v:rect style="width:0;height:1.5pt" o:hralign="center" o:hrstd="t" o:hr="t"/>
        </w:pict>
      </w:r>
    </w:p>
    <w:bookmarkEnd w:id="50"/>
    <w:bookmarkStart w:id="51" w:name="entregables"/>
    <w:p>
      <w:pPr>
        <w:pStyle w:val="Heading1"/>
      </w:pPr>
      <w:r>
        <w:t xml:space="preserve">Entregables</w:t>
      </w:r>
    </w:p>
    <w:p>
      <w:pPr>
        <w:pStyle w:val="FirstParagraph"/>
      </w:pPr>
      <w:r>
        <w:t xml:space="preserve">Antigravity deberá entregar:</w:t>
      </w:r>
    </w:p>
    <w:p>
      <w:pPr>
        <w:pStyle w:val="Compact"/>
        <w:numPr>
          <w:ilvl w:val="0"/>
          <w:numId w:val="1027"/>
        </w:numPr>
      </w:pPr>
      <w:r>
        <w:t xml:space="preserve">Código fuente.</w:t>
      </w:r>
    </w:p>
    <w:p>
      <w:pPr>
        <w:pStyle w:val="Compact"/>
        <w:numPr>
          <w:ilvl w:val="0"/>
          <w:numId w:val="1027"/>
        </w:numPr>
      </w:pPr>
      <w:r>
        <w:t xml:space="preserve">Pruebas automatizadas.</w:t>
      </w:r>
    </w:p>
    <w:p>
      <w:pPr>
        <w:pStyle w:val="Compact"/>
        <w:numPr>
          <w:ilvl w:val="0"/>
          <w:numId w:val="1027"/>
        </w:numPr>
      </w:pPr>
      <w:r>
        <w:t xml:space="preserve">Informe de cobertura.</w:t>
      </w:r>
    </w:p>
    <w:p>
      <w:pPr>
        <w:pStyle w:val="Compact"/>
        <w:numPr>
          <w:ilvl w:val="0"/>
          <w:numId w:val="1027"/>
        </w:numPr>
      </w:pPr>
      <w:r>
        <w:t xml:space="preserve">Evidencias de ejecución.</w:t>
      </w:r>
    </w:p>
    <w:p>
      <w:pPr>
        <w:pStyle w:val="Compact"/>
        <w:numPr>
          <w:ilvl w:val="0"/>
          <w:numId w:val="1027"/>
        </w:numPr>
      </w:pPr>
      <w:r>
        <w:t xml:space="preserve">Registro de decisiones relevantes.</w:t>
      </w:r>
    </w:p>
    <w:p>
      <w:r>
        <w:pict>
          <v:rect style="width:0;height:1.5pt" o:hralign="center" o:hrstd="t" o:hr="t"/>
        </w:pict>
      </w:r>
    </w:p>
    <w:bookmarkEnd w:id="51"/>
    <w:bookmarkStart w:id="52" w:name="criterios-de-aceptación"/>
    <w:p>
      <w:pPr>
        <w:pStyle w:val="Heading1"/>
      </w:pPr>
      <w:r>
        <w:t xml:space="preserve">Criterios de Aceptación</w:t>
      </w:r>
    </w:p>
    <w:p>
      <w:pPr>
        <w:pStyle w:val="FirstParagraph"/>
      </w:pPr>
      <w:r>
        <w:t xml:space="preserve">El dominio será aprobado cuando:</w:t>
      </w:r>
    </w:p>
    <w:p>
      <w:pPr>
        <w:pStyle w:val="Compact"/>
        <w:numPr>
          <w:ilvl w:val="0"/>
          <w:numId w:val="1028"/>
        </w:numPr>
      </w:pPr>
      <w:r>
        <w:t xml:space="preserve">Todos los casos de uso estén implementados.</w:t>
      </w:r>
    </w:p>
    <w:p>
      <w:pPr>
        <w:pStyle w:val="Compact"/>
        <w:numPr>
          <w:ilvl w:val="0"/>
          <w:numId w:val="1028"/>
        </w:numPr>
      </w:pPr>
      <w:r>
        <w:t xml:space="preserve">El catálogo funcione correctamente.</w:t>
      </w:r>
    </w:p>
    <w:p>
      <w:pPr>
        <w:pStyle w:val="Compact"/>
        <w:numPr>
          <w:ilvl w:val="0"/>
          <w:numId w:val="1028"/>
        </w:numPr>
      </w:pPr>
      <w:r>
        <w:t xml:space="preserve">Las variantes y protocolos sean consistentes.</w:t>
      </w:r>
    </w:p>
    <w:p>
      <w:pPr>
        <w:pStyle w:val="Compact"/>
        <w:numPr>
          <w:ilvl w:val="0"/>
          <w:numId w:val="1028"/>
        </w:numPr>
      </w:pPr>
      <w:r>
        <w:t xml:space="preserve">Las integraciones respeten los contratos definidos.</w:t>
      </w:r>
    </w:p>
    <w:p>
      <w:pPr>
        <w:pStyle w:val="Compact"/>
        <w:numPr>
          <w:ilvl w:val="0"/>
          <w:numId w:val="1028"/>
        </w:numPr>
      </w:pPr>
      <w:r>
        <w:t xml:space="preserve">Se cumplan todos los estándares arquitectónicos.</w:t>
      </w:r>
    </w:p>
    <w:p>
      <w:r>
        <w:pict>
          <v:rect style="width:0;height:1.5pt" o:hralign="center" o:hrstd="t" o:hr="t"/>
        </w:pict>
      </w:r>
    </w:p>
    <w:bookmarkEnd w:id="52"/>
    <w:bookmarkStart w:id="5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9"/>
        </w:numPr>
      </w:pPr>
      <w:r>
        <w:t xml:space="preserve">TREATMENT001–TREATMENT007</w:t>
      </w:r>
    </w:p>
    <w:p>
      <w:pPr>
        <w:pStyle w:val="Compact"/>
        <w:numPr>
          <w:ilvl w:val="0"/>
          <w:numId w:val="1029"/>
        </w:numPr>
      </w:pPr>
      <w:r>
        <w:t xml:space="preserve">A009–A012</w:t>
      </w:r>
    </w:p>
    <w:p>
      <w:pPr>
        <w:pStyle w:val="Compact"/>
        <w:numPr>
          <w:ilvl w:val="0"/>
          <w:numId w:val="1029"/>
        </w:numPr>
      </w:pPr>
      <w:r>
        <w:t xml:space="preserve">FB001–FB004</w:t>
      </w:r>
    </w:p>
    <w:p>
      <w:pPr>
        <w:pStyle w:val="Compact"/>
        <w:numPr>
          <w:ilvl w:val="0"/>
          <w:numId w:val="1029"/>
        </w:numPr>
      </w:pPr>
      <w:r>
        <w:t xml:space="preserve">UI001–UI005</w:t>
      </w:r>
    </w:p>
    <w:p>
      <w:pPr>
        <w:pStyle w:val="Compact"/>
        <w:numPr>
          <w:ilvl w:val="0"/>
          <w:numId w:val="1029"/>
        </w:numPr>
      </w:pPr>
      <w:r>
        <w:t xml:space="preserve">APP001–APP008</w:t>
      </w:r>
    </w:p>
    <w:p>
      <w:pPr>
        <w:pStyle w:val="Compact"/>
        <w:numPr>
          <w:ilvl w:val="0"/>
          <w:numId w:val="1029"/>
        </w:numPr>
      </w:pPr>
      <w:r>
        <w:t xml:space="preserve">CUSTOMER001–CUSTOMER008</w:t>
      </w:r>
    </w:p>
    <w:p>
      <w:r>
        <w:pict>
          <v:rect style="width:0;height:1.5pt" o:hralign="center" o:hrstd="t" o:hr="t"/>
        </w:pict>
      </w:r>
    </w:p>
    <w:bookmarkEnd w:id="53"/>
    <w:bookmarkStart w:id="5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 por Antigravity.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2026-06-30T17:21:13Z</dcterms:created>
  <dcterms:modified xsi:type="dcterms:W3CDTF">2026-06-30T17:21:13Z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