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732f7fdf35dac82c472f2703f1689f7ed6c225a"/>
    <w:p>
      <w:pPr>
        <w:pStyle w:val="Heading1"/>
      </w:pPr>
      <w:r>
        <w:t xml:space="preserve">CORE003 — LOGGING &amp; OBSERVABILITY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 observabilidad de la plataforma.</w:t>
      </w:r>
    </w:p>
    <w:p>
      <w:pPr>
        <w:pStyle w:val="BodyText"/>
      </w:pPr>
      <w:r>
        <w:t xml:space="preserve">El objetivo es proporcionar trazabilidad completa de las operaciones del sistema, facilitar el diagnóstico de incidencias y permitir el monitoreo continuo del rendimiento y del negocio.</w:t>
      </w:r>
    </w:p>
    <w:p>
      <w:pPr>
        <w:pStyle w:val="BodyText"/>
      </w:pPr>
      <w:r>
        <w:t xml:space="preserve">La observabilidad será un componente transversal y deberá estar presente en todos los módulos de la plataforma.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Este documento aplica a:</w:t>
      </w:r>
    </w:p>
    <w:p>
      <w:pPr>
        <w:pStyle w:val="Compact"/>
        <w:numPr>
          <w:ilvl w:val="0"/>
          <w:numId w:val="1001"/>
        </w:numPr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Cloud Functions</w:t>
      </w:r>
    </w:p>
    <w:p>
      <w:pPr>
        <w:pStyle w:val="Compact"/>
        <w:numPr>
          <w:ilvl w:val="0"/>
          <w:numId w:val="1001"/>
        </w:numPr>
      </w:pPr>
      <w:r>
        <w:t xml:space="preserve">Firestore</w:t>
      </w:r>
    </w:p>
    <w:p>
      <w:pPr>
        <w:pStyle w:val="Compact"/>
        <w:numPr>
          <w:ilvl w:val="0"/>
          <w:numId w:val="1001"/>
        </w:numPr>
      </w:pPr>
      <w:r>
        <w:t xml:space="preserve">Integraciones externas</w:t>
      </w:r>
    </w:p>
    <w:p>
      <w:pPr>
        <w:pStyle w:val="Compact"/>
        <w:numPr>
          <w:ilvl w:val="0"/>
          <w:numId w:val="1001"/>
        </w:numPr>
      </w:pPr>
      <w:r>
        <w:t xml:space="preserve">Procesos automáticos</w:t>
      </w:r>
    </w:p>
    <w:p>
      <w:pPr>
        <w:pStyle w:val="Compact"/>
        <w:numPr>
          <w:ilvl w:val="0"/>
          <w:numId w:val="1001"/>
        </w:numPr>
      </w:pPr>
      <w:r>
        <w:t xml:space="preserve">Inteligencia Artificial</w:t>
      </w:r>
    </w:p>
    <w:p>
      <w:pPr>
        <w:pStyle w:val="Compact"/>
        <w:numPr>
          <w:ilvl w:val="0"/>
          <w:numId w:val="1001"/>
        </w:numPr>
      </w:pPr>
      <w:r>
        <w:t xml:space="preserve">Panel administrativo</w:t>
      </w:r>
    </w:p>
    <w:p>
      <w:pPr>
        <w:pStyle w:val="FirstParagraph"/>
      </w:pPr>
      <w:r>
        <w:t xml:space="preserve">No reemplaza la auditoría funcional ni el sistema de analítica; los complementa.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La plataforma deberá permitir:</w:t>
      </w:r>
    </w:p>
    <w:p>
      <w:pPr>
        <w:pStyle w:val="Compact"/>
        <w:numPr>
          <w:ilvl w:val="0"/>
          <w:numId w:val="1002"/>
        </w:numPr>
      </w:pPr>
      <w:r>
        <w:t xml:space="preserve">Detectar errores rápidamente.</w:t>
      </w:r>
    </w:p>
    <w:p>
      <w:pPr>
        <w:pStyle w:val="Compact"/>
        <w:numPr>
          <w:ilvl w:val="0"/>
          <w:numId w:val="1002"/>
        </w:numPr>
      </w:pPr>
      <w:r>
        <w:t xml:space="preserve">Comprender el contexto de cada incidencia.</w:t>
      </w:r>
    </w:p>
    <w:p>
      <w:pPr>
        <w:pStyle w:val="Compact"/>
        <w:numPr>
          <w:ilvl w:val="0"/>
          <w:numId w:val="1002"/>
        </w:numPr>
      </w:pPr>
      <w:r>
        <w:t xml:space="preserve">Medir el rendimiento.</w:t>
      </w:r>
    </w:p>
    <w:p>
      <w:pPr>
        <w:pStyle w:val="Compact"/>
        <w:numPr>
          <w:ilvl w:val="0"/>
          <w:numId w:val="1002"/>
        </w:numPr>
      </w:pPr>
      <w:r>
        <w:t xml:space="preserve">Identificar cuellos de botella.</w:t>
      </w:r>
    </w:p>
    <w:p>
      <w:pPr>
        <w:pStyle w:val="Compact"/>
        <w:numPr>
          <w:ilvl w:val="0"/>
          <w:numId w:val="1002"/>
        </w:numPr>
      </w:pPr>
      <w:r>
        <w:t xml:space="preserve">Registrar eventos críticos.</w:t>
      </w:r>
    </w:p>
    <w:p>
      <w:pPr>
        <w:pStyle w:val="Compact"/>
        <w:numPr>
          <w:ilvl w:val="0"/>
          <w:numId w:val="1002"/>
        </w:numPr>
      </w:pPr>
      <w:r>
        <w:t xml:space="preserve">Facilitar auditorías técnicas.</w:t>
      </w:r>
    </w:p>
    <w:p>
      <w:pPr>
        <w:pStyle w:val="Compact"/>
        <w:numPr>
          <w:ilvl w:val="0"/>
          <w:numId w:val="1002"/>
        </w:numPr>
      </w:pPr>
      <w:r>
        <w:t xml:space="preserve">Apoyar la mejora continua.</w:t>
      </w:r>
    </w:p>
    <w:p>
      <w:r>
        <w:pict>
          <v:rect style="width:0;height:1.5pt" o:hralign="center" o:hrstd="t" o:hr="t"/>
        </w:pict>
      </w:r>
    </w:p>
    <w:bookmarkEnd w:id="24"/>
    <w:bookmarkStart w:id="29" w:name="pilares-de-observabilidad"/>
    <w:p>
      <w:pPr>
        <w:pStyle w:val="Heading1"/>
      </w:pPr>
      <w:r>
        <w:t xml:space="preserve">Pilares de Observabilidad</w:t>
      </w:r>
    </w:p>
    <w:p>
      <w:pPr>
        <w:pStyle w:val="FirstParagraph"/>
      </w:pPr>
      <w:r>
        <w:t xml:space="preserve">La estrategia se basa en cuatro pilares.</w:t>
      </w:r>
    </w:p>
    <w:bookmarkStart w:id="25" w:name="logging"/>
    <w:p>
      <w:pPr>
        <w:pStyle w:val="Heading2"/>
      </w:pPr>
      <w:r>
        <w:t xml:space="preserve">1. Logging</w:t>
      </w:r>
    </w:p>
    <w:p>
      <w:pPr>
        <w:pStyle w:val="FirstParagraph"/>
      </w:pPr>
      <w:r>
        <w:t xml:space="preserve">Registro estructurado de eventos y errores.</w:t>
      </w:r>
    </w:p>
    <w:bookmarkEnd w:id="25"/>
    <w:bookmarkStart w:id="26" w:name="metrics"/>
    <w:p>
      <w:pPr>
        <w:pStyle w:val="Heading2"/>
      </w:pPr>
      <w:r>
        <w:t xml:space="preserve">2. Metrics</w:t>
      </w:r>
    </w:p>
    <w:p>
      <w:pPr>
        <w:pStyle w:val="FirstParagraph"/>
      </w:pPr>
      <w:r>
        <w:t xml:space="preserve">Medición de indicadores técnicos y de negocio.</w:t>
      </w:r>
    </w:p>
    <w:bookmarkEnd w:id="26"/>
    <w:bookmarkStart w:id="27" w:name="tracing"/>
    <w:p>
      <w:pPr>
        <w:pStyle w:val="Heading2"/>
      </w:pPr>
      <w:r>
        <w:t xml:space="preserve">3. Tracing</w:t>
      </w:r>
    </w:p>
    <w:p>
      <w:pPr>
        <w:pStyle w:val="FirstParagraph"/>
      </w:pPr>
      <w:r>
        <w:t xml:space="preserve">Seguimiento del recorrido de una operación entre módulos.</w:t>
      </w:r>
    </w:p>
    <w:bookmarkEnd w:id="27"/>
    <w:bookmarkStart w:id="28" w:name="alerting"/>
    <w:p>
      <w:pPr>
        <w:pStyle w:val="Heading2"/>
      </w:pPr>
      <w:r>
        <w:t xml:space="preserve">4. Alerting</w:t>
      </w:r>
    </w:p>
    <w:p>
      <w:pPr>
        <w:pStyle w:val="FirstParagraph"/>
      </w:pPr>
      <w:r>
        <w:t xml:space="preserve">Generación de alertas ante condiciones relevantes.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ogging-1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Todo registro deberá ser estructurado y consistente.</w:t>
      </w:r>
    </w:p>
    <w:p>
      <w:pPr>
        <w:pStyle w:val="BodyText"/>
      </w:pPr>
      <w:r>
        <w:t xml:space="preserve">Cada entrada deberá incluir, cuando aplique:</w:t>
      </w:r>
    </w:p>
    <w:p>
      <w:pPr>
        <w:pStyle w:val="Compact"/>
        <w:numPr>
          <w:ilvl w:val="0"/>
          <w:numId w:val="1003"/>
        </w:numPr>
      </w:pPr>
      <w:r>
        <w:t xml:space="preserve">Fecha y hora.</w:t>
      </w:r>
    </w:p>
    <w:p>
      <w:pPr>
        <w:pStyle w:val="Compact"/>
        <w:numPr>
          <w:ilvl w:val="0"/>
          <w:numId w:val="1003"/>
        </w:numPr>
      </w:pPr>
      <w:r>
        <w:t xml:space="preserve">Nivel de severidad.</w:t>
      </w:r>
    </w:p>
    <w:p>
      <w:pPr>
        <w:pStyle w:val="Compact"/>
        <w:numPr>
          <w:ilvl w:val="0"/>
          <w:numId w:val="1003"/>
        </w:numPr>
      </w:pPr>
      <w:r>
        <w:t xml:space="preserve">Módulo.</w:t>
      </w:r>
    </w:p>
    <w:p>
      <w:pPr>
        <w:pStyle w:val="Compact"/>
        <w:numPr>
          <w:ilvl w:val="0"/>
          <w:numId w:val="1003"/>
        </w:numPr>
      </w:pPr>
      <w:r>
        <w:t xml:space="preserve">Operación.</w:t>
      </w:r>
    </w:p>
    <w:p>
      <w:pPr>
        <w:pStyle w:val="Compact"/>
        <w:numPr>
          <w:ilvl w:val="0"/>
          <w:numId w:val="1003"/>
        </w:numPr>
      </w:pPr>
      <w:r>
        <w:t xml:space="preserve">Usuario.</w:t>
      </w:r>
    </w:p>
    <w:p>
      <w:pPr>
        <w:pStyle w:val="Compact"/>
        <w:numPr>
          <w:ilvl w:val="0"/>
          <w:numId w:val="1003"/>
        </w:numPr>
      </w:pPr>
      <w:r>
        <w:t xml:space="preserve">Organización.</w:t>
      </w:r>
    </w:p>
    <w:p>
      <w:pPr>
        <w:pStyle w:val="Compact"/>
        <w:numPr>
          <w:ilvl w:val="0"/>
          <w:numId w:val="1003"/>
        </w:numPr>
      </w:pPr>
      <w:r>
        <w:t xml:space="preserve">Identificador de correlación.</w:t>
      </w:r>
    </w:p>
    <w:p>
      <w:pPr>
        <w:pStyle w:val="Compact"/>
        <w:numPr>
          <w:ilvl w:val="0"/>
          <w:numId w:val="1003"/>
        </w:numPr>
      </w:pPr>
      <w:r>
        <w:t xml:space="preserve">Resultado.</w:t>
      </w:r>
    </w:p>
    <w:p>
      <w:pPr>
        <w:pStyle w:val="Compact"/>
        <w:numPr>
          <w:ilvl w:val="0"/>
          <w:numId w:val="1003"/>
        </w:numPr>
      </w:pPr>
      <w:r>
        <w:t xml:space="preserve">Contexto adicional.</w:t>
      </w:r>
    </w:p>
    <w:p>
      <w:pPr>
        <w:pStyle w:val="FirstParagraph"/>
      </w:pPr>
      <w:r>
        <w:t xml:space="preserve">No se registrarán datos sensibles como contraseñas, tokens o información de pago.</w:t>
      </w:r>
    </w:p>
    <w:p>
      <w:r>
        <w:pict>
          <v:rect style="width:0;height:1.5pt" o:hralign="center" o:hrstd="t" o:hr="t"/>
        </w:pict>
      </w:r>
    </w:p>
    <w:bookmarkEnd w:id="30"/>
    <w:bookmarkStart w:id="31" w:name="niveles-de-severidad"/>
    <w:p>
      <w:pPr>
        <w:pStyle w:val="Heading1"/>
      </w:pPr>
      <w:r>
        <w:t xml:space="preserve">Niveles de Severidad</w:t>
      </w:r>
    </w:p>
    <w:p>
      <w:pPr>
        <w:pStyle w:val="FirstParagraph"/>
      </w:pPr>
      <w:r>
        <w:t xml:space="preserve">Se adoptan los siguientes niveles: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Desarrollo y diagnóstico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Operaciones normales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Situaciones anómalas recuperables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Fallos que afectan una operación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Incidentes que comprometen la disponibilidad o integridad del sistema</w:t>
            </w:r>
          </w:p>
        </w:tc>
      </w:tr>
    </w:tbl>
    <w:p>
      <w:pPr>
        <w:pStyle w:val="BodyText"/>
      </w:pPr>
      <w:r>
        <w:t xml:space="preserve">Cada registro deberá utilizar el nivel adecuado para facilitar el filtrado y el monitoreo.</w:t>
      </w:r>
    </w:p>
    <w:p>
      <w:r>
        <w:pict>
          <v:rect style="width:0;height:1.5pt" o:hralign="center" o:hrstd="t" o:hr="t"/>
        </w:pict>
      </w:r>
    </w:p>
    <w:bookmarkEnd w:id="31"/>
    <w:bookmarkStart w:id="32" w:name="correlation-id"/>
    <w:p>
      <w:pPr>
        <w:pStyle w:val="Heading1"/>
      </w:pPr>
      <w:r>
        <w:t xml:space="preserve">Correlation ID</w:t>
      </w:r>
    </w:p>
    <w:p>
      <w:pPr>
        <w:pStyle w:val="FirstParagraph"/>
      </w:pPr>
      <w:r>
        <w:t xml:space="preserve">Cada operación relevante recibirá un identificador de correlación.</w:t>
      </w:r>
    </w:p>
    <w:p>
      <w:pPr>
        <w:pStyle w:val="BodyText"/>
      </w:pPr>
      <w:r>
        <w:t xml:space="preserve">Este identificador permitirá seguir una misma solicitud a través de:</w:t>
      </w:r>
    </w:p>
    <w:p>
      <w:pPr>
        <w:pStyle w:val="Compact"/>
        <w:numPr>
          <w:ilvl w:val="0"/>
          <w:numId w:val="1004"/>
        </w:numPr>
      </w:pPr>
      <w:r>
        <w:t xml:space="preserve">Frontend.</w:t>
      </w:r>
    </w:p>
    <w:p>
      <w:pPr>
        <w:pStyle w:val="Compact"/>
        <w:numPr>
          <w:ilvl w:val="0"/>
          <w:numId w:val="1004"/>
        </w:numPr>
      </w:pPr>
      <w:r>
        <w:t xml:space="preserve">Cloud Functions.</w:t>
      </w:r>
    </w:p>
    <w:p>
      <w:pPr>
        <w:pStyle w:val="Compact"/>
        <w:numPr>
          <w:ilvl w:val="0"/>
          <w:numId w:val="1004"/>
        </w:numPr>
      </w:pPr>
      <w:r>
        <w:t xml:space="preserve">Firestore.</w:t>
      </w:r>
    </w:p>
    <w:p>
      <w:pPr>
        <w:pStyle w:val="Compact"/>
        <w:numPr>
          <w:ilvl w:val="0"/>
          <w:numId w:val="1004"/>
        </w:numPr>
      </w:pPr>
      <w:r>
        <w:t xml:space="preserve">Integraciones externas.</w:t>
      </w:r>
    </w:p>
    <w:p>
      <w:pPr>
        <w:pStyle w:val="FirstParagraph"/>
      </w:pPr>
      <w:r>
        <w:t xml:space="preserve">Esto simplifica enormemente el análisis de incidencias.</w:t>
      </w:r>
    </w:p>
    <w:p>
      <w:r>
        <w:pict>
          <v:rect style="width:0;height:1.5pt" o:hralign="center" o:hrstd="t" o:hr="t"/>
        </w:pict>
      </w:r>
    </w:p>
    <w:bookmarkEnd w:id="32"/>
    <w:bookmarkStart w:id="37" w:name="eventos-registrables"/>
    <w:p>
      <w:pPr>
        <w:pStyle w:val="Heading1"/>
      </w:pPr>
      <w:r>
        <w:t xml:space="preserve">Eventos Registrables</w:t>
      </w:r>
    </w:p>
    <w:p>
      <w:pPr>
        <w:pStyle w:val="FirstParagraph"/>
      </w:pPr>
      <w:r>
        <w:t xml:space="preserve">Se consideran eventos relevantes, entre otros:</w:t>
      </w:r>
    </w:p>
    <w:bookmarkStart w:id="33" w:name="autenticación"/>
    <w:p>
      <w:pPr>
        <w:pStyle w:val="Heading2"/>
      </w:pPr>
      <w:r>
        <w:t xml:space="preserve">Autenticación</w:t>
      </w:r>
    </w:p>
    <w:p>
      <w:pPr>
        <w:pStyle w:val="Compact"/>
        <w:numPr>
          <w:ilvl w:val="0"/>
          <w:numId w:val="1005"/>
        </w:numPr>
      </w:pPr>
      <w:r>
        <w:t xml:space="preserve">Inicio de sesión.</w:t>
      </w:r>
    </w:p>
    <w:p>
      <w:pPr>
        <w:pStyle w:val="Compact"/>
        <w:numPr>
          <w:ilvl w:val="0"/>
          <w:numId w:val="1005"/>
        </w:numPr>
      </w:pPr>
      <w:r>
        <w:t xml:space="preserve">Cierre de sesión.</w:t>
      </w:r>
    </w:p>
    <w:p>
      <w:pPr>
        <w:pStyle w:val="Compact"/>
        <w:numPr>
          <w:ilvl w:val="0"/>
          <w:numId w:val="1005"/>
        </w:numPr>
      </w:pPr>
      <w:r>
        <w:t xml:space="preserve">Recuperación de contraseña.</w:t>
      </w:r>
    </w:p>
    <w:p>
      <w:pPr>
        <w:pStyle w:val="Compact"/>
        <w:numPr>
          <w:ilvl w:val="0"/>
          <w:numId w:val="1005"/>
        </w:numPr>
      </w:pPr>
      <w:r>
        <w:t xml:space="preserve">Verificación de correo.</w:t>
      </w:r>
    </w:p>
    <w:bookmarkEnd w:id="33"/>
    <w:bookmarkStart w:id="34" w:name="agenda"/>
    <w:p>
      <w:pPr>
        <w:pStyle w:val="Heading2"/>
      </w:pPr>
      <w:r>
        <w:t xml:space="preserve">Agenda</w:t>
      </w:r>
    </w:p>
    <w:p>
      <w:pPr>
        <w:pStyle w:val="Compact"/>
        <w:numPr>
          <w:ilvl w:val="0"/>
          <w:numId w:val="1006"/>
        </w:numPr>
      </w:pPr>
      <w:r>
        <w:t xml:space="preserve">Reserva creada.</w:t>
      </w:r>
    </w:p>
    <w:p>
      <w:pPr>
        <w:pStyle w:val="Compact"/>
        <w:numPr>
          <w:ilvl w:val="0"/>
          <w:numId w:val="1006"/>
        </w:numPr>
      </w:pPr>
      <w:r>
        <w:t xml:space="preserve">Reserva reprogramada.</w:t>
      </w:r>
    </w:p>
    <w:p>
      <w:pPr>
        <w:pStyle w:val="Compact"/>
        <w:numPr>
          <w:ilvl w:val="0"/>
          <w:numId w:val="1006"/>
        </w:numPr>
      </w:pPr>
      <w:r>
        <w:t xml:space="preserve">Reserva cancelada.</w:t>
      </w:r>
    </w:p>
    <w:bookmarkEnd w:id="34"/>
    <w:bookmarkStart w:id="35" w:name="comercio-electrónico"/>
    <w:p>
      <w:pPr>
        <w:pStyle w:val="Heading2"/>
      </w:pPr>
      <w:r>
        <w:t xml:space="preserve">Comercio Electrónico</w:t>
      </w:r>
    </w:p>
    <w:p>
      <w:pPr>
        <w:pStyle w:val="Compact"/>
        <w:numPr>
          <w:ilvl w:val="0"/>
          <w:numId w:val="1007"/>
        </w:numPr>
      </w:pPr>
      <w:r>
        <w:t xml:space="preserve">Producto consultado.</w:t>
      </w:r>
    </w:p>
    <w:p>
      <w:pPr>
        <w:pStyle w:val="Compact"/>
        <w:numPr>
          <w:ilvl w:val="0"/>
          <w:numId w:val="1007"/>
        </w:numPr>
      </w:pPr>
      <w:r>
        <w:t xml:space="preserve">Carrito actualizado.</w:t>
      </w:r>
    </w:p>
    <w:p>
      <w:pPr>
        <w:pStyle w:val="Compact"/>
        <w:numPr>
          <w:ilvl w:val="0"/>
          <w:numId w:val="1007"/>
        </w:numPr>
      </w:pPr>
      <w:r>
        <w:t xml:space="preserve">Pedido confirmado.</w:t>
      </w:r>
    </w:p>
    <w:p>
      <w:pPr>
        <w:pStyle w:val="Compact"/>
        <w:numPr>
          <w:ilvl w:val="0"/>
          <w:numId w:val="1007"/>
        </w:numPr>
      </w:pPr>
      <w:r>
        <w:t xml:space="preserve">Cupón aplicado.</w:t>
      </w:r>
    </w:p>
    <w:bookmarkEnd w:id="35"/>
    <w:bookmarkStart w:id="36" w:name="administración"/>
    <w:p>
      <w:pPr>
        <w:pStyle w:val="Heading2"/>
      </w:pPr>
      <w:r>
        <w:t xml:space="preserve">Administración</w:t>
      </w:r>
    </w:p>
    <w:p>
      <w:pPr>
        <w:pStyle w:val="Compact"/>
        <w:numPr>
          <w:ilvl w:val="0"/>
          <w:numId w:val="1008"/>
        </w:numPr>
      </w:pPr>
      <w:r>
        <w:t xml:space="preserve">Cambio de permisos.</w:t>
      </w:r>
    </w:p>
    <w:p>
      <w:pPr>
        <w:pStyle w:val="Compact"/>
        <w:numPr>
          <w:ilvl w:val="0"/>
          <w:numId w:val="1008"/>
        </w:numPr>
      </w:pPr>
      <w:r>
        <w:t xml:space="preserve">Actualización de configuración.</w:t>
      </w:r>
    </w:p>
    <w:p>
      <w:pPr>
        <w:pStyle w:val="Compact"/>
        <w:numPr>
          <w:ilvl w:val="0"/>
          <w:numId w:val="1008"/>
        </w:numPr>
      </w:pPr>
      <w:r>
        <w:t xml:space="preserve">Gestión de usuarios.</w:t>
      </w:r>
    </w:p>
    <w:p>
      <w:pPr>
        <w:pStyle w:val="FirstParagraph"/>
      </w:pPr>
      <w:r>
        <w:t xml:space="preserve">Cada dominio podrá añadir nuevos eventos siguiendo las mismas convenciones.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étricas-técnicas"/>
    <w:p>
      <w:pPr>
        <w:pStyle w:val="Heading1"/>
      </w:pPr>
      <w:r>
        <w:t xml:space="preserve">Métricas Técnicas</w:t>
      </w:r>
    </w:p>
    <w:p>
      <w:pPr>
        <w:pStyle w:val="FirstParagraph"/>
      </w:pPr>
      <w:r>
        <w:t xml:space="preserve">El sistema deberá recopilar indicadores como:</w:t>
      </w:r>
    </w:p>
    <w:p>
      <w:pPr>
        <w:pStyle w:val="Compact"/>
        <w:numPr>
          <w:ilvl w:val="0"/>
          <w:numId w:val="1009"/>
        </w:numPr>
      </w:pPr>
      <w:r>
        <w:t xml:space="preserve">Tiempo de respuesta.</w:t>
      </w:r>
    </w:p>
    <w:p>
      <w:pPr>
        <w:pStyle w:val="Compact"/>
        <w:numPr>
          <w:ilvl w:val="0"/>
          <w:numId w:val="1009"/>
        </w:numPr>
      </w:pPr>
      <w:r>
        <w:t xml:space="preserve">Latencia de consultas.</w:t>
      </w:r>
    </w:p>
    <w:p>
      <w:pPr>
        <w:pStyle w:val="Compact"/>
        <w:numPr>
          <w:ilvl w:val="0"/>
          <w:numId w:val="1009"/>
        </w:numPr>
      </w:pPr>
      <w:r>
        <w:t xml:space="preserve">Errores por módulo.</w:t>
      </w:r>
    </w:p>
    <w:p>
      <w:pPr>
        <w:pStyle w:val="Compact"/>
        <w:numPr>
          <w:ilvl w:val="0"/>
          <w:numId w:val="1009"/>
        </w:numPr>
      </w:pPr>
      <w:r>
        <w:t xml:space="preserve">Errores por Cloud Function.</w:t>
      </w:r>
    </w:p>
    <w:p>
      <w:pPr>
        <w:pStyle w:val="Compact"/>
        <w:numPr>
          <w:ilvl w:val="0"/>
          <w:numId w:val="1009"/>
        </w:numPr>
      </w:pPr>
      <w:r>
        <w:t xml:space="preserve">Tiempo de renderizado.</w:t>
      </w:r>
    </w:p>
    <w:p>
      <w:pPr>
        <w:pStyle w:val="Compact"/>
        <w:numPr>
          <w:ilvl w:val="0"/>
          <w:numId w:val="1009"/>
        </w:numPr>
      </w:pPr>
      <w:r>
        <w:t xml:space="preserve">Uso de caché.</w:t>
      </w:r>
    </w:p>
    <w:p>
      <w:pPr>
        <w:pStyle w:val="Compact"/>
        <w:numPr>
          <w:ilvl w:val="0"/>
          <w:numId w:val="1009"/>
        </w:numPr>
      </w:pPr>
      <w:r>
        <w:t xml:space="preserve">Reintentos.</w:t>
      </w:r>
    </w:p>
    <w:p>
      <w:pPr>
        <w:pStyle w:val="Compact"/>
        <w:numPr>
          <w:ilvl w:val="0"/>
          <w:numId w:val="1009"/>
        </w:numPr>
      </w:pPr>
      <w:r>
        <w:t xml:space="preserve">Consumo de recursos.</w:t>
      </w:r>
    </w:p>
    <w:p>
      <w:pPr>
        <w:pStyle w:val="FirstParagraph"/>
      </w:pPr>
      <w:r>
        <w:t xml:space="preserve">Estas métricas permitirán detectar degradaciones antes de que afecten a los usuarios.</w:t>
      </w:r>
    </w:p>
    <w:p>
      <w:r>
        <w:pict>
          <v:rect style="width:0;height:1.5pt" o:hralign="center" o:hrstd="t" o:hr="t"/>
        </w:pict>
      </w:r>
    </w:p>
    <w:bookmarkEnd w:id="38"/>
    <w:bookmarkStart w:id="39" w:name="métricas-de-negocio"/>
    <w:p>
      <w:pPr>
        <w:pStyle w:val="Heading1"/>
      </w:pPr>
      <w:r>
        <w:t xml:space="preserve">Métricas de Negocio</w:t>
      </w:r>
    </w:p>
    <w:p>
      <w:pPr>
        <w:pStyle w:val="FirstParagraph"/>
      </w:pPr>
      <w:r>
        <w:t xml:space="preserve">Además de la salud técnica, la plataforma medirá indicadores funcionales:</w:t>
      </w:r>
    </w:p>
    <w:p>
      <w:pPr>
        <w:pStyle w:val="Compact"/>
        <w:numPr>
          <w:ilvl w:val="0"/>
          <w:numId w:val="1010"/>
        </w:numPr>
      </w:pPr>
      <w:r>
        <w:t xml:space="preserve">Reservas realizadas.</w:t>
      </w:r>
    </w:p>
    <w:p>
      <w:pPr>
        <w:pStyle w:val="Compact"/>
        <w:numPr>
          <w:ilvl w:val="0"/>
          <w:numId w:val="1010"/>
        </w:numPr>
      </w:pPr>
      <w:r>
        <w:t xml:space="preserve">Reservas canceladas.</w:t>
      </w:r>
    </w:p>
    <w:p>
      <w:pPr>
        <w:pStyle w:val="Compact"/>
        <w:numPr>
          <w:ilvl w:val="0"/>
          <w:numId w:val="1010"/>
        </w:numPr>
      </w:pPr>
      <w:r>
        <w:t xml:space="preserve">Conversión de compras.</w:t>
      </w:r>
    </w:p>
    <w:p>
      <w:pPr>
        <w:pStyle w:val="Compact"/>
        <w:numPr>
          <w:ilvl w:val="0"/>
          <w:numId w:val="1010"/>
        </w:numPr>
      </w:pPr>
      <w:r>
        <w:t xml:space="preserve">Productos más vendidos.</w:t>
      </w:r>
    </w:p>
    <w:p>
      <w:pPr>
        <w:pStyle w:val="Compact"/>
        <w:numPr>
          <w:ilvl w:val="0"/>
          <w:numId w:val="1010"/>
        </w:numPr>
      </w:pPr>
      <w:r>
        <w:t xml:space="preserve">Valor promedio de pedido.</w:t>
      </w:r>
    </w:p>
    <w:p>
      <w:pPr>
        <w:pStyle w:val="Compact"/>
        <w:numPr>
          <w:ilvl w:val="0"/>
          <w:numId w:val="1010"/>
        </w:numPr>
      </w:pPr>
      <w:r>
        <w:t xml:space="preserve">Clientes recurrentes.</w:t>
      </w:r>
    </w:p>
    <w:p>
      <w:pPr>
        <w:pStyle w:val="Compact"/>
        <w:numPr>
          <w:ilvl w:val="0"/>
          <w:numId w:val="1010"/>
        </w:numPr>
      </w:pPr>
      <w:r>
        <w:t xml:space="preserve">Uso de promociones.</w:t>
      </w:r>
    </w:p>
    <w:p>
      <w:pPr>
        <w:pStyle w:val="Compact"/>
        <w:numPr>
          <w:ilvl w:val="0"/>
          <w:numId w:val="1010"/>
        </w:numPr>
      </w:pPr>
      <w:r>
        <w:t xml:space="preserve">Fidelización.</w:t>
      </w:r>
    </w:p>
    <w:p>
      <w:pPr>
        <w:pStyle w:val="FirstParagraph"/>
      </w:pPr>
      <w:r>
        <w:t xml:space="preserve">Estas métricas alimentarán los módulos de CRM, Marketing e Inteligencia Artificial.</w:t>
      </w:r>
    </w:p>
    <w:p>
      <w:r>
        <w:pict>
          <v:rect style="width:0;height:1.5pt" o:hralign="center" o:hrstd="t" o:hr="t"/>
        </w:pict>
      </w:r>
    </w:p>
    <w:bookmarkEnd w:id="39"/>
    <w:bookmarkStart w:id="40" w:name="alertas"/>
    <w:p>
      <w:pPr>
        <w:pStyle w:val="Heading1"/>
      </w:pPr>
      <w:r>
        <w:t xml:space="preserve">Alertas</w:t>
      </w:r>
    </w:p>
    <w:p>
      <w:pPr>
        <w:pStyle w:val="FirstParagraph"/>
      </w:pPr>
      <w:r>
        <w:t xml:space="preserve">Las alertas deberán configurarse para situaciones como:</w:t>
      </w:r>
    </w:p>
    <w:p>
      <w:pPr>
        <w:pStyle w:val="Compact"/>
        <w:numPr>
          <w:ilvl w:val="0"/>
          <w:numId w:val="1011"/>
        </w:numPr>
      </w:pPr>
      <w:r>
        <w:t xml:space="preserve">Incremento anormal de errores.</w:t>
      </w:r>
    </w:p>
    <w:p>
      <w:pPr>
        <w:pStyle w:val="Compact"/>
        <w:numPr>
          <w:ilvl w:val="0"/>
          <w:numId w:val="1011"/>
        </w:numPr>
      </w:pPr>
      <w:r>
        <w:t xml:space="preserve">Caída de Cloud Functions.</w:t>
      </w:r>
    </w:p>
    <w:p>
      <w:pPr>
        <w:pStyle w:val="Compact"/>
        <w:numPr>
          <w:ilvl w:val="0"/>
          <w:numId w:val="1011"/>
        </w:numPr>
      </w:pPr>
      <w:r>
        <w:t xml:space="preserve">Fallos de autenticación.</w:t>
      </w:r>
    </w:p>
    <w:p>
      <w:pPr>
        <w:pStyle w:val="Compact"/>
        <w:numPr>
          <w:ilvl w:val="0"/>
          <w:numId w:val="1011"/>
        </w:numPr>
      </w:pPr>
      <w:r>
        <w:t xml:space="preserve">Problemas de integración.</w:t>
      </w:r>
    </w:p>
    <w:p>
      <w:pPr>
        <w:pStyle w:val="Compact"/>
        <w:numPr>
          <w:ilvl w:val="0"/>
          <w:numId w:val="1011"/>
        </w:numPr>
      </w:pPr>
      <w:r>
        <w:t xml:space="preserve">Rendimiento degradado.</w:t>
      </w:r>
    </w:p>
    <w:p>
      <w:pPr>
        <w:pStyle w:val="FirstParagraph"/>
      </w:pPr>
      <w:r>
        <w:t xml:space="preserve">Cada alerta tendrá un nivel de prioridad y un procedimiento de respuesta.</w:t>
      </w:r>
    </w:p>
    <w:p>
      <w:r>
        <w:pict>
          <v:rect style="width:0;height:1.5pt" o:hralign="center" o:hrstd="t" o:hr="t"/>
        </w:pict>
      </w:r>
    </w:p>
    <w:bookmarkEnd w:id="40"/>
    <w:bookmarkStart w:id="41" w:name="auditoría-técnica"/>
    <w:p>
      <w:pPr>
        <w:pStyle w:val="Heading1"/>
      </w:pPr>
      <w:r>
        <w:t xml:space="preserve">Auditoría Técnica</w:t>
      </w:r>
    </w:p>
    <w:p>
      <w:pPr>
        <w:pStyle w:val="FirstParagraph"/>
      </w:pPr>
      <w:r>
        <w:t xml:space="preserve">La observabilidad no sustituye la auditoría funcional.</w:t>
      </w:r>
    </w:p>
    <w:p>
      <w:pPr>
        <w:pStyle w:val="BodyText"/>
      </w:pPr>
      <w:r>
        <w:t xml:space="preserve">La auditoría registra acciones del negocio; la observabilidad registra el comportamiento técnico del sistema.</w:t>
      </w:r>
    </w:p>
    <w:p>
      <w:pPr>
        <w:pStyle w:val="BodyText"/>
      </w:pPr>
      <w:r>
        <w:t xml:space="preserve">Ambos mecanismos deberán coexistir.</w:t>
      </w:r>
    </w:p>
    <w:p>
      <w:r>
        <w:pict>
          <v:rect style="width:0;height:1.5pt" o:hralign="center" o:hrstd="t" o:hr="t"/>
        </w:pict>
      </w:r>
    </w:p>
    <w:bookmarkEnd w:id="41"/>
    <w:bookmarkStart w:id="42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Los registros deberán cumplir los siguientes principios:</w:t>
      </w:r>
    </w:p>
    <w:p>
      <w:pPr>
        <w:pStyle w:val="Compact"/>
        <w:numPr>
          <w:ilvl w:val="0"/>
          <w:numId w:val="1012"/>
        </w:numPr>
      </w:pPr>
      <w:r>
        <w:t xml:space="preserve">No almacenar secretos.</w:t>
      </w:r>
    </w:p>
    <w:p>
      <w:pPr>
        <w:pStyle w:val="Compact"/>
        <w:numPr>
          <w:ilvl w:val="0"/>
          <w:numId w:val="1012"/>
        </w:numPr>
      </w:pPr>
      <w:r>
        <w:t xml:space="preserve">No almacenar contraseñas.</w:t>
      </w:r>
    </w:p>
    <w:p>
      <w:pPr>
        <w:pStyle w:val="Compact"/>
        <w:numPr>
          <w:ilvl w:val="0"/>
          <w:numId w:val="1012"/>
        </w:numPr>
      </w:pPr>
      <w:r>
        <w:t xml:space="preserve">No almacenar tokens.</w:t>
      </w:r>
    </w:p>
    <w:p>
      <w:pPr>
        <w:pStyle w:val="Compact"/>
        <w:numPr>
          <w:ilvl w:val="0"/>
          <w:numId w:val="1012"/>
        </w:numPr>
      </w:pPr>
      <w:r>
        <w:t xml:space="preserve">Minimizar datos personales.</w:t>
      </w:r>
    </w:p>
    <w:p>
      <w:pPr>
        <w:pStyle w:val="Compact"/>
        <w:numPr>
          <w:ilvl w:val="0"/>
          <w:numId w:val="1012"/>
        </w:numPr>
      </w:pPr>
      <w:r>
        <w:t xml:space="preserve">Respetar las políticas de privacidad aplicables.</w:t>
      </w:r>
    </w:p>
    <w:p>
      <w:r>
        <w:pict>
          <v:rect style="width:0;height:1.5pt" o:hralign="center" o:hrstd="t" o:hr="t"/>
        </w:pict>
      </w:r>
    </w:p>
    <w:bookmarkEnd w:id="42"/>
    <w:bookmarkStart w:id="43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3"/>
        </w:numPr>
      </w:pPr>
      <w:r>
        <w:t xml:space="preserve">Exceso de registros que incremente costos.</w:t>
      </w:r>
    </w:p>
    <w:p>
      <w:pPr>
        <w:pStyle w:val="Compact"/>
        <w:numPr>
          <w:ilvl w:val="0"/>
          <w:numId w:val="1013"/>
        </w:numPr>
      </w:pPr>
      <w:r>
        <w:t xml:space="preserve">Falta de contexto en los eventos.</w:t>
      </w:r>
    </w:p>
    <w:p>
      <w:pPr>
        <w:pStyle w:val="Compact"/>
        <w:numPr>
          <w:ilvl w:val="0"/>
          <w:numId w:val="1013"/>
        </w:numPr>
      </w:pPr>
      <w:r>
        <w:t xml:space="preserve">Inconsistencia entre módulos.</w:t>
      </w:r>
    </w:p>
    <w:p>
      <w:pPr>
        <w:pStyle w:val="Compact"/>
        <w:numPr>
          <w:ilvl w:val="0"/>
          <w:numId w:val="1013"/>
        </w:numPr>
      </w:pPr>
      <w:r>
        <w:t xml:space="preserve">Exposición accidental de información sensible.</w:t>
      </w:r>
    </w:p>
    <w:p>
      <w:pPr>
        <w:pStyle w:val="FirstParagraph"/>
      </w:pPr>
      <w:r>
        <w:t xml:space="preserve">La estrategia de logging deberá equilibrar utilidad y costo operativo.</w:t>
      </w:r>
    </w:p>
    <w:p>
      <w:r>
        <w:pict>
          <v:rect style="width:0;height:1.5pt" o:hralign="center" o:hrstd="t" o:hr="t"/>
        </w:pict>
      </w:r>
    </w:p>
    <w:bookmarkEnd w:id="43"/>
    <w:bookmarkStart w:id="44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4"/>
        </w:numPr>
      </w:pPr>
      <w:r>
        <w:t xml:space="preserve">Estrategia de logging definida.</w:t>
      </w:r>
    </w:p>
    <w:p>
      <w:pPr>
        <w:pStyle w:val="Compact"/>
        <w:numPr>
          <w:ilvl w:val="0"/>
          <w:numId w:val="1014"/>
        </w:numPr>
      </w:pPr>
      <w:r>
        <w:t xml:space="preserve">Niveles de severidad aprobados.</w:t>
      </w:r>
    </w:p>
    <w:p>
      <w:pPr>
        <w:pStyle w:val="Compact"/>
        <w:numPr>
          <w:ilvl w:val="0"/>
          <w:numId w:val="1014"/>
        </w:numPr>
      </w:pPr>
      <w:r>
        <w:t xml:space="preserve">Correlation ID documentado.</w:t>
      </w:r>
    </w:p>
    <w:p>
      <w:pPr>
        <w:pStyle w:val="Compact"/>
        <w:numPr>
          <w:ilvl w:val="0"/>
          <w:numId w:val="1014"/>
        </w:numPr>
      </w:pPr>
      <w:r>
        <w:t xml:space="preserve">Eventos relevantes identificados.</w:t>
      </w:r>
    </w:p>
    <w:p>
      <w:pPr>
        <w:pStyle w:val="Compact"/>
        <w:numPr>
          <w:ilvl w:val="0"/>
          <w:numId w:val="1014"/>
        </w:numPr>
      </w:pPr>
      <w:r>
        <w:t xml:space="preserve">Métricas técnicas definidas.</w:t>
      </w:r>
    </w:p>
    <w:p>
      <w:pPr>
        <w:pStyle w:val="Compact"/>
        <w:numPr>
          <w:ilvl w:val="0"/>
          <w:numId w:val="1014"/>
        </w:numPr>
      </w:pPr>
      <w:r>
        <w:t xml:space="preserve">Métricas de negocio definidas.</w:t>
      </w:r>
    </w:p>
    <w:p>
      <w:pPr>
        <w:pStyle w:val="Compact"/>
        <w:numPr>
          <w:ilvl w:val="0"/>
          <w:numId w:val="1014"/>
        </w:numPr>
      </w:pPr>
      <w:r>
        <w:t xml:space="preserve">Estrategia de alertas establecida.</w:t>
      </w:r>
    </w:p>
    <w:p>
      <w:pPr>
        <w:pStyle w:val="Compact"/>
        <w:numPr>
          <w:ilvl w:val="0"/>
          <w:numId w:val="1014"/>
        </w:numPr>
      </w:pPr>
      <w:r>
        <w:t xml:space="preserve">Reglas de seguridad documentadas.</w:t>
      </w:r>
    </w:p>
    <w:p>
      <w:r>
        <w:pict>
          <v:rect style="width:0;height:1.5pt" o:hralign="center" o:hrstd="t" o:hr="t"/>
        </w:pict>
      </w:r>
    </w:p>
    <w:bookmarkEnd w:id="44"/>
    <w:bookmarkStart w:id="45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5"/>
        </w:numPr>
      </w:pPr>
      <w:r>
        <w:t xml:space="preserve">CORE001_PLATFORM_FOUNDATION_ARCHITECTURE.md</w:t>
      </w:r>
    </w:p>
    <w:p>
      <w:pPr>
        <w:pStyle w:val="Compact"/>
        <w:numPr>
          <w:ilvl w:val="0"/>
          <w:numId w:val="1015"/>
        </w:numPr>
      </w:pPr>
      <w:r>
        <w:t xml:space="preserve">CORE002_ERROR_HANDLING_AND_RESULT_PATTERN.md</w:t>
      </w:r>
    </w:p>
    <w:p>
      <w:pPr>
        <w:pStyle w:val="Compact"/>
        <w:numPr>
          <w:ilvl w:val="0"/>
          <w:numId w:val="1015"/>
        </w:numPr>
      </w:pPr>
      <w:r>
        <w:t xml:space="preserve">DB001_FIRESTORE_DATABASE_ARCHITECTURE.md</w:t>
      </w:r>
    </w:p>
    <w:p>
      <w:pPr>
        <w:pStyle w:val="Compact"/>
        <w:numPr>
          <w:ilvl w:val="0"/>
          <w:numId w:val="1015"/>
        </w:numPr>
      </w:pPr>
      <w:r>
        <w:t xml:space="preserve">A001_SYSTEM_ARCHITECTURE.md</w:t>
      </w:r>
    </w:p>
    <w:p>
      <w:r>
        <w:pict>
          <v:rect style="width:0;height:1.5pt" o:hralign="center" o:hrstd="t" o:hr="t"/>
        </w:pict>
      </w:r>
    </w:p>
    <w:bookmarkEnd w:id="45"/>
    <w:bookmarkStart w:id="46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 Logging y Observabilidad.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2026-06-30T16:54:45Z</dcterms:created>
  <dcterms:modified xsi:type="dcterms:W3CDTF">2026-06-30T16:54:45Z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