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MARKETING006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Marketing Automation.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organizations/{organizationId}/marketingCampaigns/{campaignId}</w:t>
      </w:r>
    </w:p>
    <w:p>
      <w:pPr>
        <w:pStyle w:val="Heading3"/>
      </w:pPr>
      <w:r>
        <w:t>Lecturas</w:t>
      </w:r>
    </w:p>
    <w:p>
      <w:r>
        <w:t>Permitidas únicamente a usuarios autenticados con el permiso marketing.read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campaignCode, createdAt, createdBy, updatedAt, updatedBy, publishedAt y finishedAt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pertenencia de los recursos. La lógica de negocio permanecerá en el backend.</w:t>
      </w:r>
    </w:p>
    <w:p>
      <w:pPr>
        <w:pStyle w:val="Heading3"/>
      </w:pPr>
      <w:r>
        <w:t>Subcolecciones</w:t>
      </w:r>
    </w:p>
    <w:p>
      <w:r>
        <w:t>messages, executions, audit, timeline y reports heredarán el contexto de seguridad de la campaña.</w:t>
      </w:r>
    </w:p>
    <w:p>
      <w:pPr>
        <w:pStyle w:val="Heading3"/>
      </w:pPr>
      <w:r>
        <w:t>Privacidad</w:t>
      </w:r>
    </w:p>
    <w:p>
      <w:r>
        <w:t>Los segmentos, métricas y reglas de automatización solo serán visibles para usuarios con permisos autorizados.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campos críticos mediante Firebase Emulator Suite.</w:t>
      </w:r>
    </w:p>
    <w:p>
      <w:pPr>
        <w:pStyle w:val="Heading3"/>
      </w:pPr>
      <w:r>
        <w:t>Riesgos</w:t>
      </w:r>
    </w:p>
    <w:p>
      <w:r>
        <w:t>Acceso entre organizaciones, campañas no autorizadas, fuga de audiencias y reglas excesivamente permisivas.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Marketing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