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Order Management.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organizations/{organizationId}/orders/{orderId}</w:t>
      </w:r>
    </w:p>
    <w:p>
      <w:pPr>
        <w:pStyle w:val="Heading3"/>
      </w:pPr>
      <w:r>
        <w:t>Lecturas</w:t>
      </w:r>
    </w:p>
    <w:p>
      <w:r>
        <w:t>Permitidas únicamente a usuarios autenticados con permiso orders.read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autorizadas.</w:t>
      </w:r>
    </w:p>
    <w:p>
      <w:pPr>
        <w:pStyle w:val="Heading3"/>
      </w:pPr>
      <w:r>
        <w:t>Campos Protegidos</w:t>
      </w:r>
    </w:p>
    <w:p>
      <w:r>
        <w:t>id, organizationId, orderNumber, createdAt, createdBy, updatedAt, updatedBy, confirmedAt y completedAt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e integridad de la ruta. La lógica de negocio permanecerá en el backend.</w:t>
      </w:r>
    </w:p>
    <w:p>
      <w:pPr>
        <w:pStyle w:val="Heading3"/>
      </w:pPr>
      <w:r>
        <w:t>Subcolecciones</w:t>
      </w:r>
    </w:p>
    <w:p>
      <w:r>
        <w:t>events, audit, timeline y fulfillment heredarán el contexto de seguridad de la orden.</w:t>
      </w:r>
    </w:p>
    <w:p>
      <w:pPr>
        <w:pStyle w:val="Heading3"/>
      </w:pPr>
      <w:r>
        <w:t>Transiciones</w:t>
      </w:r>
    </w:p>
    <w:p>
      <w:r>
        <w:t>Los cambios de estado solo podrán ejecutarse mediante funciones backend autorizadas.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campos críticos usando Firebase Emulator Suite.</w:t>
      </w:r>
    </w:p>
    <w:p>
      <w:pPr>
        <w:pStyle w:val="Heading3"/>
      </w:pPr>
      <w:r>
        <w:t>Riesgos</w:t>
      </w:r>
    </w:p>
    <w:p>
      <w:r>
        <w:t>Acceso entre organizaciones, modificación directa de órdenes, reglas permisivas y escalamiento de privilegios.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