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ORG004 — ORGANIZATION &amp; MULTI-TENANT MANAGEMENT UI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de la interfaz del dominio Organization &amp; Multi-Tenant Management mediante un Organization Workspace modular y reutilizable.</w:t>
      </w:r>
    </w:p>
    <w:p>
      <w:pPr>
        <w:pStyle w:val="Heading3"/>
      </w:pPr>
      <w:r>
        <w:t>Alcance</w:t>
      </w:r>
    </w:p>
    <w:p>
      <w:r>
        <w:t>Organizaciones, sucursales, equipos, suscripciones, cuotas, configuración y onboarding.</w:t>
      </w:r>
    </w:p>
    <w:p>
      <w:pPr>
        <w:pStyle w:val="Heading3"/>
      </w:pPr>
      <w:r>
        <w:t>Principios</w:t>
      </w:r>
    </w:p>
    <w:p>
      <w:r>
        <w:t>Responsive, accesible, modular, reutilizable, desacoplado y alineado con el Design System.</w:t>
      </w:r>
    </w:p>
    <w:p>
      <w:pPr>
        <w:pStyle w:val="Heading3"/>
      </w:pPr>
      <w:r>
        <w:t>Workspace</w:t>
      </w:r>
    </w:p>
    <w:p>
      <w:r>
        <w:t>Header, Navigation, Organization Overview, Branch Manager, Team Manager, Subscription Center y Quick Actions.</w:t>
      </w:r>
    </w:p>
    <w:p>
      <w:pPr>
        <w:pStyle w:val="Heading3"/>
      </w:pPr>
      <w:r>
        <w:t>Organizaciones</w:t>
      </w:r>
    </w:p>
    <w:p>
      <w:r>
        <w:t>Administración del perfil organizacional, branding y configuración general.</w:t>
      </w:r>
    </w:p>
    <w:p>
      <w:pPr>
        <w:pStyle w:val="Heading3"/>
      </w:pPr>
      <w:r>
        <w:t>Sucursales</w:t>
      </w:r>
    </w:p>
    <w:p>
      <w:r>
        <w:t>Gestión de sedes, horarios, zonas horarias y responsables.</w:t>
      </w:r>
    </w:p>
    <w:p>
      <w:pPr>
        <w:pStyle w:val="Heading3"/>
      </w:pPr>
      <w:r>
        <w:t>Suscripciones</w:t>
      </w:r>
    </w:p>
    <w:p>
      <w:r>
        <w:t>Visualización de planes, consumo, cuotas, facturación y renovaciones.</w:t>
      </w:r>
    </w:p>
    <w:p>
      <w:pPr>
        <w:pStyle w:val="Heading3"/>
      </w:pPr>
      <w:r>
        <w:t>Componentes</w:t>
      </w:r>
    </w:p>
    <w:p>
      <w:r>
        <w:t>OrganizationWorkspace, OrganizationProfile, BranchTable, TeamManager, SubscriptionPanel, QuotaDashboard, SettingsPanel y SearchBar.</w:t>
      </w:r>
    </w:p>
    <w:p>
      <w:pPr>
        <w:pStyle w:val="Heading3"/>
      </w:pPr>
      <w:r>
        <w:t>Estados</w:t>
      </w:r>
    </w:p>
    <w:p>
      <w:r>
        <w:t>Carga, vacío, sin resultados, error y sin permisos.</w:t>
      </w:r>
    </w:p>
    <w:p>
      <w:pPr>
        <w:pStyle w:val="Heading3"/>
      </w:pPr>
      <w:r>
        <w:t>Integraciones</w:t>
      </w:r>
    </w:p>
    <w:p>
      <w:r>
        <w:t>IAM, Payments, Analytics, Firebase, Communication Platform y AI Platform.</w:t>
      </w:r>
    </w:p>
    <w:p>
      <w:pPr>
        <w:pStyle w:val="Heading3"/>
      </w:pPr>
      <w:r>
        <w:t>Accesibilidad</w:t>
      </w:r>
    </w:p>
    <w:p>
      <w:r>
        <w:t>Navegación por teclado, etiquetas semánticas, foco visible y compatibilidad con lectores de pantalla.</w:t>
      </w:r>
    </w:p>
    <w:p>
      <w:pPr>
        <w:pStyle w:val="Heading3"/>
      </w:pPr>
      <w:r>
        <w:t>Rendimiento</w:t>
      </w:r>
    </w:p>
    <w:p>
      <w:r>
        <w:t>Carga diferida, paginación, virtualización y actualización incremental.</w:t>
      </w:r>
    </w:p>
    <w:p>
      <w:pPr>
        <w:pStyle w:val="Heading3"/>
      </w:pPr>
      <w:r>
        <w:t>Checklist</w:t>
      </w:r>
    </w:p>
    <w:p>
      <w:r>
        <w:t>Workspace definido, componentes identificados, integraciones documentadas, accesibilidad y rendimiento contemplados.</w:t>
      </w:r>
    </w:p>
    <w:p>
      <w:pPr>
        <w:pStyle w:val="Heading3"/>
      </w:pPr>
      <w:r>
        <w:t>Estado</w:t>
      </w:r>
    </w:p>
    <w:p>
      <w:r>
        <w:t>Aprobado como arquitectura oficial de la interfaz del dominio Organization &amp; Multi-Tenant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