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01-system-architecture"/>
    <w:p>
      <w:pPr>
        <w:pStyle w:val="Heading1"/>
      </w:pPr>
      <w:r>
        <w:t xml:space="preserve">A001 — SYSTEM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la plataforma PATRICIAGUILLENVALER Studio Platform.</w:t>
      </w:r>
    </w:p>
    <w:p>
      <w:pPr>
        <w:pStyle w:val="BodyText"/>
      </w:pPr>
      <w:r>
        <w:t xml:space="preserve">Este documento establece la estructura técnica que deberá seguir todo el proyecto, garantizando consistencia, escalabilidad, mantenibilidad y evolución futura hacia un modelo SaaS.</w:t>
      </w:r>
    </w:p>
    <w:p>
      <w:pPr>
        <w:pStyle w:val="BodyText"/>
      </w:pPr>
      <w:r>
        <w:t xml:space="preserve">Toda decisión técnica posterior deberá ser compatible con esta arquitectura.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arquitectónicos"/>
    <w:p>
      <w:pPr>
        <w:pStyle w:val="Heading1"/>
      </w:pPr>
      <w:r>
        <w:t xml:space="preserve">Objetivos Arquitectónicos</w:t>
      </w:r>
    </w:p>
    <w:p>
      <w:pPr>
        <w:pStyle w:val="FirstParagraph"/>
      </w:pPr>
      <w:r>
        <w:t xml:space="preserve">La plataforma deberá ser:</w:t>
      </w:r>
    </w:p>
    <w:p>
      <w:pPr>
        <w:pStyle w:val="Compact"/>
        <w:numPr>
          <w:ilvl w:val="0"/>
          <w:numId w:val="1001"/>
        </w:numPr>
      </w:pPr>
      <w:r>
        <w:t xml:space="preserve">Escalable.</w:t>
      </w:r>
    </w:p>
    <w:p>
      <w:pPr>
        <w:pStyle w:val="Compact"/>
        <w:numPr>
          <w:ilvl w:val="0"/>
          <w:numId w:val="1001"/>
        </w:numPr>
      </w:pPr>
      <w:r>
        <w:t xml:space="preserve">Modular.</w:t>
      </w:r>
    </w:p>
    <w:p>
      <w:pPr>
        <w:pStyle w:val="Compact"/>
        <w:numPr>
          <w:ilvl w:val="0"/>
          <w:numId w:val="1001"/>
        </w:numPr>
      </w:pPr>
      <w:r>
        <w:t xml:space="preserve">Reutilizable.</w:t>
      </w:r>
    </w:p>
    <w:p>
      <w:pPr>
        <w:pStyle w:val="Compact"/>
        <w:numPr>
          <w:ilvl w:val="0"/>
          <w:numId w:val="1001"/>
        </w:numPr>
      </w:pPr>
      <w:r>
        <w:t xml:space="preserve">Segura.</w:t>
      </w:r>
    </w:p>
    <w:p>
      <w:pPr>
        <w:pStyle w:val="Compact"/>
        <w:numPr>
          <w:ilvl w:val="0"/>
          <w:numId w:val="1001"/>
        </w:numPr>
      </w:pPr>
      <w:r>
        <w:t xml:space="preserve">Mantenible.</w:t>
      </w:r>
    </w:p>
    <w:p>
      <w:pPr>
        <w:pStyle w:val="Compact"/>
        <w:numPr>
          <w:ilvl w:val="0"/>
          <w:numId w:val="1001"/>
        </w:numPr>
      </w:pPr>
      <w:r>
        <w:t xml:space="preserve">Observable.</w:t>
      </w:r>
    </w:p>
    <w:p>
      <w:pPr>
        <w:pStyle w:val="Compact"/>
        <w:numPr>
          <w:ilvl w:val="0"/>
          <w:numId w:val="1001"/>
        </w:numPr>
      </w:pPr>
      <w:r>
        <w:t xml:space="preserve">Preparada para múltiples organizaciones.</w:t>
      </w:r>
    </w:p>
    <w:p>
      <w:pPr>
        <w:pStyle w:val="Compact"/>
        <w:numPr>
          <w:ilvl w:val="0"/>
          <w:numId w:val="1001"/>
        </w:numPr>
      </w:pPr>
      <w:r>
        <w:t xml:space="preserve">Independiente de proveedores cuando sea posible.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-de-arquitectura"/>
    <w:p>
      <w:pPr>
        <w:pStyle w:val="Heading1"/>
      </w:pPr>
      <w:r>
        <w:t xml:space="preserve">Principios de Arquitectura</w:t>
      </w:r>
    </w:p>
    <w:p>
      <w:pPr>
        <w:pStyle w:val="FirstParagraph"/>
      </w:pPr>
      <w:r>
        <w:t xml:space="preserve">La plataforma adopta los siguientes principios:</w:t>
      </w:r>
    </w:p>
    <w:p>
      <w:pPr>
        <w:pStyle w:val="Compact"/>
        <w:numPr>
          <w:ilvl w:val="0"/>
          <w:numId w:val="1002"/>
        </w:numPr>
      </w:pPr>
      <w:r>
        <w:t xml:space="preserve">Clean Architecture.</w:t>
      </w:r>
    </w:p>
    <w:p>
      <w:pPr>
        <w:pStyle w:val="Compact"/>
        <w:numPr>
          <w:ilvl w:val="0"/>
          <w:numId w:val="1002"/>
        </w:numPr>
      </w:pPr>
      <w:r>
        <w:t xml:space="preserve">SOLID.</w:t>
      </w:r>
    </w:p>
    <w:p>
      <w:pPr>
        <w:pStyle w:val="Compact"/>
        <w:numPr>
          <w:ilvl w:val="0"/>
          <w:numId w:val="1002"/>
        </w:numPr>
      </w:pPr>
      <w:r>
        <w:t xml:space="preserve">DRY.</w:t>
      </w:r>
    </w:p>
    <w:p>
      <w:pPr>
        <w:pStyle w:val="Compact"/>
        <w:numPr>
          <w:ilvl w:val="0"/>
          <w:numId w:val="1002"/>
        </w:numPr>
      </w:pPr>
      <w:r>
        <w:t xml:space="preserve">KISS.</w:t>
      </w:r>
    </w:p>
    <w:p>
      <w:pPr>
        <w:pStyle w:val="Compact"/>
        <w:numPr>
          <w:ilvl w:val="0"/>
          <w:numId w:val="1002"/>
        </w:numPr>
      </w:pPr>
      <w:r>
        <w:t xml:space="preserve">Separation of Concerns.</w:t>
      </w:r>
    </w:p>
    <w:p>
      <w:pPr>
        <w:pStyle w:val="Compact"/>
        <w:numPr>
          <w:ilvl w:val="0"/>
          <w:numId w:val="1002"/>
        </w:numPr>
      </w:pPr>
      <w:r>
        <w:t xml:space="preserve">Dependency Inversion.</w:t>
      </w:r>
    </w:p>
    <w:p>
      <w:pPr>
        <w:pStyle w:val="Compact"/>
        <w:numPr>
          <w:ilvl w:val="0"/>
          <w:numId w:val="1002"/>
        </w:numPr>
      </w:pPr>
      <w:r>
        <w:t xml:space="preserve">Composition over Inheritance.</w:t>
      </w:r>
    </w:p>
    <w:p>
      <w:pPr>
        <w:pStyle w:val="Compact"/>
        <w:numPr>
          <w:ilvl w:val="0"/>
          <w:numId w:val="1002"/>
        </w:numPr>
      </w:pPr>
      <w:r>
        <w:t xml:space="preserve">Feature-Oriented Design.</w:t>
      </w:r>
    </w:p>
    <w:p>
      <w:pPr>
        <w:pStyle w:val="Compact"/>
        <w:numPr>
          <w:ilvl w:val="0"/>
          <w:numId w:val="1002"/>
        </w:numPr>
      </w:pPr>
      <w:r>
        <w:t xml:space="preserve">Domain-Driven Organization (sin aplicar DDD completo).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                           Usuario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React + TypeScript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Capa de Presentación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Casos de Uso (Application)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Dominio (Business Rules)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Repositorios / Interfaces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Firebase Infrastructure</w:t>
      </w:r>
      <w:r>
        <w:br/>
      </w:r>
      <w:r>
        <w:rPr>
          <w:rStyle w:val="VerbatimChar"/>
        </w:rPr>
        <w:t xml:space="preserve">        ┌────────────┬────────────┬────────────┐</w:t>
      </w:r>
      <w:r>
        <w:br/>
      </w:r>
      <w:r>
        <w:rPr>
          <w:rStyle w:val="VerbatimChar"/>
        </w:rPr>
        <w:t xml:space="preserve">        │            │            │            │</w:t>
      </w:r>
      <w:r>
        <w:br/>
      </w:r>
      <w:r>
        <w:rPr>
          <w:rStyle w:val="VerbatimChar"/>
        </w:rPr>
        <w:t xml:space="preserve">        ▼            ▼            ▼            ▼</w:t>
      </w:r>
      <w:r>
        <w:br/>
      </w:r>
      <w:r>
        <w:rPr>
          <w:rStyle w:val="VerbatimChar"/>
        </w:rPr>
        <w:t xml:space="preserve"> Authentication   Firestore   Functions   Storage</w:t>
      </w:r>
    </w:p>
    <w:p>
      <w:r>
        <w:pict>
          <v:rect style="width:0;height:1.5pt" o:hralign="center" o:hrstd="t" o:hr="t"/>
        </w:pict>
      </w:r>
    </w:p>
    <w:bookmarkEnd w:id="25"/>
    <w:bookmarkStart w:id="26" w:name="organización-por-dominios"/>
    <w:p>
      <w:pPr>
        <w:pStyle w:val="Heading1"/>
      </w:pPr>
      <w:r>
        <w:t xml:space="preserve">Organización por Dominios</w:t>
      </w:r>
    </w:p>
    <w:p>
      <w:pPr>
        <w:pStyle w:val="FirstParagraph"/>
      </w:pPr>
      <w:r>
        <w:t xml:space="preserve">Cada dominio representa una capacidad funcional del negocio.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Identity</w:t>
      </w:r>
      <w:r>
        <w:br/>
      </w:r>
      <w:r>
        <w:rPr>
          <w:rStyle w:val="VerbatimChar"/>
        </w:rPr>
        <w:t xml:space="preserve">├── Customers</w:t>
      </w:r>
      <w:r>
        <w:br/>
      </w:r>
      <w:r>
        <w:rPr>
          <w:rStyle w:val="VerbatimChar"/>
        </w:rPr>
        <w:t xml:space="preserve">├── Specialists</w:t>
      </w:r>
      <w:r>
        <w:br/>
      </w:r>
      <w:r>
        <w:rPr>
          <w:rStyle w:val="VerbatimChar"/>
        </w:rPr>
        <w:t xml:space="preserve">├── Treatments</w:t>
      </w:r>
      <w:r>
        <w:br/>
      </w:r>
      <w:r>
        <w:rPr>
          <w:rStyle w:val="VerbatimChar"/>
        </w:rPr>
        <w:t xml:space="preserve">├── Appointments</w:t>
      </w:r>
      <w:r>
        <w:br/>
      </w:r>
      <w:r>
        <w:rPr>
          <w:rStyle w:val="VerbatimChar"/>
        </w:rPr>
        <w:t xml:space="preserve">├── Products</w:t>
      </w:r>
      <w:r>
        <w:br/>
      </w:r>
      <w:r>
        <w:rPr>
          <w:rStyle w:val="VerbatimChar"/>
        </w:rPr>
        <w:t xml:space="preserve">├── Orders</w:t>
      </w:r>
      <w:r>
        <w:br/>
      </w:r>
      <w:r>
        <w:rPr>
          <w:rStyle w:val="VerbatimChar"/>
        </w:rPr>
        <w:t xml:space="preserve">├── CRM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AI</w:t>
      </w:r>
      <w:r>
        <w:br/>
      </w:r>
      <w:r>
        <w:rPr>
          <w:rStyle w:val="VerbatimChar"/>
        </w:rPr>
        <w:t xml:space="preserve">└── Administration</w:t>
      </w:r>
    </w:p>
    <w:p>
      <w:pPr>
        <w:pStyle w:val="FirstParagraph"/>
      </w:pPr>
      <w:r>
        <w:t xml:space="preserve">Cada dominio evoluciona de forma independiente y expone únicamente las interfaces necesarias.</w:t>
      </w:r>
    </w:p>
    <w:p>
      <w:r>
        <w:pict>
          <v:rect style="width:0;height:1.5pt" o:hralign="center" o:hrstd="t" o:hr="t"/>
        </w:pict>
      </w:r>
    </w:p>
    <w:bookmarkEnd w:id="26"/>
    <w:bookmarkStart w:id="31" w:name="capas-de-la-aplicación"/>
    <w:p>
      <w:pPr>
        <w:pStyle w:val="Heading1"/>
      </w:pPr>
      <w:r>
        <w:t xml:space="preserve">Capas de la Aplicación</w:t>
      </w:r>
    </w:p>
    <w:bookmarkStart w:id="27" w:name="presentación"/>
    <w:p>
      <w:pPr>
        <w:pStyle w:val="Heading2"/>
      </w:pPr>
      <w:r>
        <w:t xml:space="preserve">Presentación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3"/>
        </w:numPr>
      </w:pPr>
      <w:r>
        <w:t xml:space="preserve">Interfaces.</w:t>
      </w:r>
    </w:p>
    <w:p>
      <w:pPr>
        <w:pStyle w:val="Compact"/>
        <w:numPr>
          <w:ilvl w:val="0"/>
          <w:numId w:val="1003"/>
        </w:numPr>
      </w:pPr>
      <w:r>
        <w:t xml:space="preserve">Navegación.</w:t>
      </w:r>
    </w:p>
    <w:p>
      <w:pPr>
        <w:pStyle w:val="Compact"/>
        <w:numPr>
          <w:ilvl w:val="0"/>
          <w:numId w:val="1003"/>
        </w:numPr>
      </w:pPr>
      <w:r>
        <w:t xml:space="preserve">Formularios.</w:t>
      </w:r>
    </w:p>
    <w:p>
      <w:pPr>
        <w:pStyle w:val="Compact"/>
        <w:numPr>
          <w:ilvl w:val="0"/>
          <w:numId w:val="1003"/>
        </w:numPr>
      </w:pPr>
      <w:r>
        <w:t xml:space="preserve">Componentes.</w:t>
      </w:r>
    </w:p>
    <w:p>
      <w:pPr>
        <w:pStyle w:val="Compact"/>
        <w:numPr>
          <w:ilvl w:val="0"/>
          <w:numId w:val="1003"/>
        </w:numPr>
      </w:pPr>
      <w:r>
        <w:t xml:space="preserve">Experiencia de usuario.</w:t>
      </w:r>
    </w:p>
    <w:p>
      <w:pPr>
        <w:pStyle w:val="FirstParagraph"/>
      </w:pPr>
      <w:r>
        <w:t xml:space="preserve">No contiene reglas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aplicación"/>
    <w:p>
      <w:pPr>
        <w:pStyle w:val="Heading2"/>
      </w:pPr>
      <w:r>
        <w:t xml:space="preserve">Aplicación</w:t>
      </w:r>
    </w:p>
    <w:p>
      <w:pPr>
        <w:pStyle w:val="FirstParagraph"/>
      </w:pPr>
      <w:r>
        <w:t xml:space="preserve">Contiene los casos de uso.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Reservar cita.</w:t>
      </w:r>
    </w:p>
    <w:p>
      <w:pPr>
        <w:pStyle w:val="Compact"/>
        <w:numPr>
          <w:ilvl w:val="0"/>
          <w:numId w:val="1004"/>
        </w:numPr>
      </w:pPr>
      <w:r>
        <w:t xml:space="preserve">Crear pedido.</w:t>
      </w:r>
    </w:p>
    <w:p>
      <w:pPr>
        <w:pStyle w:val="Compact"/>
        <w:numPr>
          <w:ilvl w:val="0"/>
          <w:numId w:val="1004"/>
        </w:numPr>
      </w:pPr>
      <w:r>
        <w:t xml:space="preserve">Registrar cliente.</w:t>
      </w:r>
    </w:p>
    <w:p>
      <w:pPr>
        <w:pStyle w:val="Compact"/>
        <w:numPr>
          <w:ilvl w:val="0"/>
          <w:numId w:val="1004"/>
        </w:numPr>
      </w:pPr>
      <w:r>
        <w:t xml:space="preserve">Aplicar cupón.</w:t>
      </w:r>
    </w:p>
    <w:p>
      <w:pPr>
        <w:pStyle w:val="Compact"/>
        <w:numPr>
          <w:ilvl w:val="0"/>
          <w:numId w:val="1004"/>
        </w:numPr>
      </w:pPr>
      <w:r>
        <w:t xml:space="preserve">Confirmar pago.</w:t>
      </w:r>
    </w:p>
    <w:p>
      <w:pPr>
        <w:pStyle w:val="FirstParagraph"/>
      </w:pPr>
      <w:r>
        <w:t xml:space="preserve">Coordina el flujo entre la interfaz y el dominio.</w:t>
      </w:r>
    </w:p>
    <w:p>
      <w:r>
        <w:pict>
          <v:rect style="width:0;height:1.5pt" o:hralign="center" o:hrstd="t" o:hr="t"/>
        </w:pict>
      </w:r>
    </w:p>
    <w:bookmarkEnd w:id="28"/>
    <w:bookmarkStart w:id="29" w:name="dominio"/>
    <w:p>
      <w:pPr>
        <w:pStyle w:val="Heading2"/>
      </w:pPr>
      <w:r>
        <w:t xml:space="preserve">Dominio</w:t>
      </w:r>
    </w:p>
    <w:p>
      <w:pPr>
        <w:pStyle w:val="FirstParagraph"/>
      </w:pPr>
      <w:r>
        <w:t xml:space="preserve">Contiene las reglas del negocio.</w:t>
      </w:r>
    </w:p>
    <w:p>
      <w:pPr>
        <w:pStyle w:val="BodyText"/>
      </w:pPr>
      <w:r>
        <w:t xml:space="preserve">Aquí viven:</w:t>
      </w:r>
    </w:p>
    <w:p>
      <w:pPr>
        <w:pStyle w:val="Compact"/>
        <w:numPr>
          <w:ilvl w:val="0"/>
          <w:numId w:val="1005"/>
        </w:numPr>
      </w:pPr>
      <w:r>
        <w:t xml:space="preserve">Entidades.</w:t>
      </w:r>
    </w:p>
    <w:p>
      <w:pPr>
        <w:pStyle w:val="Compact"/>
        <w:numPr>
          <w:ilvl w:val="0"/>
          <w:numId w:val="1005"/>
        </w:numPr>
      </w:pPr>
      <w:r>
        <w:t xml:space="preserve">Objetos de valor.</w:t>
      </w:r>
    </w:p>
    <w:p>
      <w:pPr>
        <w:pStyle w:val="Compact"/>
        <w:numPr>
          <w:ilvl w:val="0"/>
          <w:numId w:val="1005"/>
        </w:numPr>
      </w:pPr>
      <w:r>
        <w:t xml:space="preserve">Reglas.</w:t>
      </w:r>
    </w:p>
    <w:p>
      <w:pPr>
        <w:pStyle w:val="Compact"/>
        <w:numPr>
          <w:ilvl w:val="0"/>
          <w:numId w:val="1005"/>
        </w:numPr>
      </w:pPr>
      <w:r>
        <w:t xml:space="preserve">Políticas.</w:t>
      </w:r>
    </w:p>
    <w:p>
      <w:pPr>
        <w:pStyle w:val="Compact"/>
        <w:numPr>
          <w:ilvl w:val="0"/>
          <w:numId w:val="1005"/>
        </w:numPr>
      </w:pPr>
      <w:r>
        <w:t xml:space="preserve">Validaciones del negocio.</w:t>
      </w:r>
    </w:p>
    <w:p>
      <w:pPr>
        <w:pStyle w:val="FirstParagraph"/>
      </w:pPr>
      <w:r>
        <w:t xml:space="preserve">El dominio no depende de React, Firebase ni bibliotecas externas.</w:t>
      </w:r>
    </w:p>
    <w:p>
      <w:r>
        <w:pict>
          <v:rect style="width:0;height:1.5pt" o:hralign="center" o:hrstd="t" o:hr="t"/>
        </w:pict>
      </w:r>
    </w:p>
    <w:bookmarkEnd w:id="29"/>
    <w:bookmarkStart w:id="30" w:name="infraestructura"/>
    <w:p>
      <w:pPr>
        <w:pStyle w:val="Heading2"/>
      </w:pPr>
      <w:r>
        <w:t xml:space="preserve">Infraestructura</w:t>
      </w:r>
    </w:p>
    <w:p>
      <w:pPr>
        <w:pStyle w:val="FirstParagraph"/>
      </w:pPr>
      <w:r>
        <w:t xml:space="preserve">Implementa el acceso a servicios externos:</w:t>
      </w:r>
    </w:p>
    <w:p>
      <w:pPr>
        <w:pStyle w:val="Compact"/>
        <w:numPr>
          <w:ilvl w:val="0"/>
          <w:numId w:val="1006"/>
        </w:numPr>
      </w:pPr>
      <w:r>
        <w:t xml:space="preserve">Firebase Authentication.</w:t>
      </w:r>
    </w:p>
    <w:p>
      <w:pPr>
        <w:pStyle w:val="Compact"/>
        <w:numPr>
          <w:ilvl w:val="0"/>
          <w:numId w:val="1006"/>
        </w:numPr>
      </w:pPr>
      <w:r>
        <w:t xml:space="preserve">Firestore.</w:t>
      </w:r>
    </w:p>
    <w:p>
      <w:pPr>
        <w:pStyle w:val="Compact"/>
        <w:numPr>
          <w:ilvl w:val="0"/>
          <w:numId w:val="1006"/>
        </w:numPr>
      </w:pPr>
      <w:r>
        <w:t xml:space="preserve">Cloud Functions.</w:t>
      </w:r>
    </w:p>
    <w:p>
      <w:pPr>
        <w:pStyle w:val="Compact"/>
        <w:numPr>
          <w:ilvl w:val="0"/>
          <w:numId w:val="1006"/>
        </w:numPr>
      </w:pPr>
      <w:r>
        <w:t xml:space="preserve">Cloud Storage.</w:t>
      </w:r>
    </w:p>
    <w:p>
      <w:pPr>
        <w:pStyle w:val="Compact"/>
        <w:numPr>
          <w:ilvl w:val="0"/>
          <w:numId w:val="1006"/>
        </w:numPr>
      </w:pPr>
      <w:r>
        <w:t xml:space="preserve">Google Analytics.</w:t>
      </w:r>
    </w:p>
    <w:p>
      <w:pPr>
        <w:pStyle w:val="Compact"/>
        <w:numPr>
          <w:ilvl w:val="0"/>
          <w:numId w:val="1006"/>
        </w:numPr>
      </w:pPr>
      <w:r>
        <w:t xml:space="preserve">Inteligencia Artificial.</w:t>
      </w:r>
    </w:p>
    <w:p>
      <w:pPr>
        <w:pStyle w:val="Compact"/>
        <w:numPr>
          <w:ilvl w:val="0"/>
          <w:numId w:val="1006"/>
        </w:numPr>
      </w:pPr>
      <w:r>
        <w:t xml:space="preserve">Pasarelas de pago.</w:t>
      </w:r>
    </w:p>
    <w:p>
      <w:pPr>
        <w:pStyle w:val="FirstParagraph"/>
      </w:pPr>
      <w:r>
        <w:t xml:space="preserve">Toda integración se realiza mediante interfaces para reducir el acoplamiento.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frontend"/>
    <w:p>
      <w:pPr>
        <w:pStyle w:val="Heading1"/>
      </w:pPr>
      <w:r>
        <w:t xml:space="preserve">Arquitectura Frontend</w:t>
      </w:r>
    </w:p>
    <w:p>
      <w:pPr>
        <w:pStyle w:val="FirstParagraph"/>
      </w:pPr>
      <w:r>
        <w:t xml:space="preserve">El frontend estará compuesto por:</w:t>
      </w:r>
    </w:p>
    <w:p>
      <w:pPr>
        <w:pStyle w:val="Compact"/>
        <w:numPr>
          <w:ilvl w:val="0"/>
          <w:numId w:val="1007"/>
        </w:numPr>
      </w:pPr>
      <w:r>
        <w:t xml:space="preserve">React.</w:t>
      </w:r>
    </w:p>
    <w:p>
      <w:pPr>
        <w:pStyle w:val="Compact"/>
        <w:numPr>
          <w:ilvl w:val="0"/>
          <w:numId w:val="1007"/>
        </w:numPr>
      </w:pPr>
      <w:r>
        <w:t xml:space="preserve">TypeScript.</w:t>
      </w:r>
    </w:p>
    <w:p>
      <w:pPr>
        <w:pStyle w:val="Compact"/>
        <w:numPr>
          <w:ilvl w:val="0"/>
          <w:numId w:val="1007"/>
        </w:numPr>
      </w:pPr>
      <w:r>
        <w:t xml:space="preserve">Vite.</w:t>
      </w:r>
    </w:p>
    <w:p>
      <w:pPr>
        <w:pStyle w:val="Compact"/>
        <w:numPr>
          <w:ilvl w:val="0"/>
          <w:numId w:val="1007"/>
        </w:numPr>
      </w:pPr>
      <w:r>
        <w:t xml:space="preserve">React Router.</w:t>
      </w:r>
    </w:p>
    <w:p>
      <w:pPr>
        <w:pStyle w:val="Compact"/>
        <w:numPr>
          <w:ilvl w:val="0"/>
          <w:numId w:val="1007"/>
        </w:numPr>
      </w:pPr>
      <w:r>
        <w:t xml:space="preserve">TanStack Query.</w:t>
      </w:r>
    </w:p>
    <w:p>
      <w:pPr>
        <w:pStyle w:val="Compact"/>
        <w:numPr>
          <w:ilvl w:val="0"/>
          <w:numId w:val="1007"/>
        </w:numPr>
      </w:pPr>
      <w:r>
        <w:t xml:space="preserve">Zustand.</w:t>
      </w:r>
    </w:p>
    <w:p>
      <w:pPr>
        <w:pStyle w:val="Compact"/>
        <w:numPr>
          <w:ilvl w:val="0"/>
          <w:numId w:val="1007"/>
        </w:numPr>
      </w:pPr>
      <w:r>
        <w:t xml:space="preserve">Tailwind CSS.</w:t>
      </w:r>
    </w:p>
    <w:p>
      <w:pPr>
        <w:pStyle w:val="FirstParagraph"/>
      </w:pPr>
      <w:r>
        <w:t xml:space="preserve">Los componentes deberán ser:</w:t>
      </w:r>
    </w:p>
    <w:p>
      <w:pPr>
        <w:pStyle w:val="Compact"/>
        <w:numPr>
          <w:ilvl w:val="0"/>
          <w:numId w:val="1008"/>
        </w:numPr>
      </w:pPr>
      <w:r>
        <w:t xml:space="preserve">Reutilizables.</w:t>
      </w:r>
    </w:p>
    <w:p>
      <w:pPr>
        <w:pStyle w:val="Compact"/>
        <w:numPr>
          <w:ilvl w:val="0"/>
          <w:numId w:val="1008"/>
        </w:numPr>
      </w:pPr>
      <w:r>
        <w:t xml:space="preserve">Accesibles.</w:t>
      </w:r>
    </w:p>
    <w:p>
      <w:pPr>
        <w:pStyle w:val="Compact"/>
        <w:numPr>
          <w:ilvl w:val="0"/>
          <w:numId w:val="1008"/>
        </w:numPr>
      </w:pPr>
      <w:r>
        <w:t xml:space="preserve">Mobile First.</w:t>
      </w:r>
    </w:p>
    <w:p>
      <w:pPr>
        <w:pStyle w:val="Compact"/>
        <w:numPr>
          <w:ilvl w:val="0"/>
          <w:numId w:val="1008"/>
        </w:numPr>
      </w:pPr>
      <w:r>
        <w:t xml:space="preserve">Tipados.</w:t>
      </w:r>
    </w:p>
    <w:p>
      <w:pPr>
        <w:pStyle w:val="Compact"/>
        <w:numPr>
          <w:ilvl w:val="0"/>
          <w:numId w:val="1008"/>
        </w:numPr>
      </w:pPr>
      <w:r>
        <w:t xml:space="preserve">Independientes de la lógica de negocio.</w:t>
      </w:r>
    </w:p>
    <w:p>
      <w:r>
        <w:pict>
          <v:rect style="width:0;height:1.5pt" o:hralign="center" o:hrstd="t" o:hr="t"/>
        </w:pict>
      </w:r>
    </w:p>
    <w:bookmarkEnd w:id="32"/>
    <w:bookmarkStart w:id="33" w:name="arquitectura-backend"/>
    <w:p>
      <w:pPr>
        <w:pStyle w:val="Heading1"/>
      </w:pPr>
      <w:r>
        <w:t xml:space="preserve">Arquitectura Backend</w:t>
      </w:r>
    </w:p>
    <w:p>
      <w:pPr>
        <w:pStyle w:val="FirstParagraph"/>
      </w:pPr>
      <w:r>
        <w:t xml:space="preserve">El backend utilizará Firebase como plataforma principal.</w:t>
      </w:r>
    </w:p>
    <w:p>
      <w:pPr>
        <w:pStyle w:val="BodyText"/>
      </w:pPr>
      <w:r>
        <w:t xml:space="preserve">Servicios:</w:t>
      </w:r>
    </w:p>
    <w:p>
      <w:pPr>
        <w:pStyle w:val="Compact"/>
        <w:numPr>
          <w:ilvl w:val="0"/>
          <w:numId w:val="1009"/>
        </w:numPr>
      </w:pPr>
      <w:r>
        <w:t xml:space="preserve">Authentication.</w:t>
      </w:r>
    </w:p>
    <w:p>
      <w:pPr>
        <w:pStyle w:val="Compact"/>
        <w:numPr>
          <w:ilvl w:val="0"/>
          <w:numId w:val="1009"/>
        </w:numPr>
      </w:pPr>
      <w:r>
        <w:t xml:space="preserve">Firestore.</w:t>
      </w:r>
    </w:p>
    <w:p>
      <w:pPr>
        <w:pStyle w:val="Compact"/>
        <w:numPr>
          <w:ilvl w:val="0"/>
          <w:numId w:val="1009"/>
        </w:numPr>
      </w:pPr>
      <w:r>
        <w:t xml:space="preserve">Cloud Functions.</w:t>
      </w:r>
    </w:p>
    <w:p>
      <w:pPr>
        <w:pStyle w:val="Compact"/>
        <w:numPr>
          <w:ilvl w:val="0"/>
          <w:numId w:val="1009"/>
        </w:numPr>
      </w:pPr>
      <w:r>
        <w:t xml:space="preserve">Cloud Storage.</w:t>
      </w:r>
    </w:p>
    <w:p>
      <w:pPr>
        <w:pStyle w:val="FirstParagraph"/>
      </w:pPr>
      <w:r>
        <w:t xml:space="preserve">Las Cloud Functions concentrarán la lógica crítica y las integraciones con servicios externos cuando sea necesario.</w:t>
      </w:r>
    </w:p>
    <w:p>
      <w:r>
        <w:pict>
          <v:rect style="width:0;height:1.5pt" o:hralign="center" o:hrstd="t" o:hr="t"/>
        </w:pict>
      </w:r>
    </w:p>
    <w:bookmarkEnd w:id="33"/>
    <w:bookmarkStart w:id="34" w:name="arquitectura-de-datos"/>
    <w:p>
      <w:pPr>
        <w:pStyle w:val="Heading1"/>
      </w:pPr>
      <w:r>
        <w:t xml:space="preserve">Arquitectura de Datos</w:t>
      </w:r>
    </w:p>
    <w:p>
      <w:pPr>
        <w:pStyle w:val="FirstParagraph"/>
      </w:pPr>
      <w:r>
        <w:t xml:space="preserve">Firestore será la base de datos principal.</w:t>
      </w:r>
    </w:p>
    <w:p>
      <w:pPr>
        <w:pStyle w:val="BodyText"/>
      </w:pPr>
      <w:r>
        <w:t xml:space="preserve">Principios:</w:t>
      </w:r>
    </w:p>
    <w:p>
      <w:pPr>
        <w:pStyle w:val="Compact"/>
        <w:numPr>
          <w:ilvl w:val="0"/>
          <w:numId w:val="1010"/>
        </w:numPr>
      </w:pPr>
      <w:r>
        <w:t xml:space="preserve">Documentos pequeños.</w:t>
      </w:r>
    </w:p>
    <w:p>
      <w:pPr>
        <w:pStyle w:val="Compact"/>
        <w:numPr>
          <w:ilvl w:val="0"/>
          <w:numId w:val="1010"/>
        </w:numPr>
      </w:pPr>
      <w:r>
        <w:t xml:space="preserve">Consultas optimizadas.</w:t>
      </w:r>
    </w:p>
    <w:p>
      <w:pPr>
        <w:pStyle w:val="Compact"/>
        <w:numPr>
          <w:ilvl w:val="0"/>
          <w:numId w:val="1010"/>
        </w:numPr>
      </w:pPr>
      <w:r>
        <w:t xml:space="preserve">Índices definidos previamente.</w:t>
      </w:r>
    </w:p>
    <w:p>
      <w:pPr>
        <w:pStyle w:val="Compact"/>
        <w:numPr>
          <w:ilvl w:val="0"/>
          <w:numId w:val="1010"/>
        </w:numPr>
      </w:pPr>
      <w:r>
        <w:t xml:space="preserve">Desnormalización controlada.</w:t>
      </w:r>
    </w:p>
    <w:p>
      <w:pPr>
        <w:pStyle w:val="Compact"/>
        <w:numPr>
          <w:ilvl w:val="0"/>
          <w:numId w:val="1010"/>
        </w:numPr>
      </w:pPr>
      <w:r>
        <w:t xml:space="preserve">Preparación para múltiples organizaciones.</w:t>
      </w:r>
    </w:p>
    <w:p>
      <w:pPr>
        <w:pStyle w:val="Compact"/>
        <w:numPr>
          <w:ilvl w:val="0"/>
          <w:numId w:val="1010"/>
        </w:numPr>
      </w:pPr>
      <w:r>
        <w:t xml:space="preserve">Costos optimizados.</w:t>
      </w:r>
    </w:p>
    <w:p>
      <w:pPr>
        <w:pStyle w:val="FirstParagraph"/>
      </w:pPr>
      <w:r>
        <w:t xml:space="preserve">El detalle del modelo de datos se documentará en la serie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 seguridad será transversal a toda la plataforma.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1"/>
        </w:numPr>
      </w:pPr>
      <w:r>
        <w:t xml:space="preserve">Autenticación.</w:t>
      </w:r>
    </w:p>
    <w:p>
      <w:pPr>
        <w:pStyle w:val="Compact"/>
        <w:numPr>
          <w:ilvl w:val="0"/>
          <w:numId w:val="1011"/>
        </w:numPr>
      </w:pPr>
      <w:r>
        <w:t xml:space="preserve">Autorización.</w:t>
      </w:r>
    </w:p>
    <w:p>
      <w:pPr>
        <w:pStyle w:val="Compact"/>
        <w:numPr>
          <w:ilvl w:val="0"/>
          <w:numId w:val="1011"/>
        </w:numPr>
      </w:pPr>
      <w:r>
        <w:t xml:space="preserve">Roles.</w:t>
      </w:r>
    </w:p>
    <w:p>
      <w:pPr>
        <w:pStyle w:val="Compact"/>
        <w:numPr>
          <w:ilvl w:val="0"/>
          <w:numId w:val="1011"/>
        </w:numPr>
      </w:pPr>
      <w:r>
        <w:t xml:space="preserve">Permisos.</w:t>
      </w:r>
    </w:p>
    <w:p>
      <w:pPr>
        <w:pStyle w:val="Compact"/>
        <w:numPr>
          <w:ilvl w:val="0"/>
          <w:numId w:val="1011"/>
        </w:numPr>
      </w:pPr>
      <w:r>
        <w:t xml:space="preserve">Reglas de Firestore.</w:t>
      </w:r>
    </w:p>
    <w:p>
      <w:pPr>
        <w:pStyle w:val="Compact"/>
        <w:numPr>
          <w:ilvl w:val="0"/>
          <w:numId w:val="1011"/>
        </w:numPr>
      </w:pPr>
      <w:r>
        <w:t xml:space="preserve">Validaciones en backend.</w:t>
      </w:r>
    </w:p>
    <w:p>
      <w:pPr>
        <w:pStyle w:val="Compact"/>
        <w:numPr>
          <w:ilvl w:val="0"/>
          <w:numId w:val="1011"/>
        </w:numPr>
      </w:pPr>
      <w:r>
        <w:t xml:space="preserve">Auditoría.</w:t>
      </w:r>
    </w:p>
    <w:p>
      <w:pPr>
        <w:pStyle w:val="Compact"/>
        <w:numPr>
          <w:ilvl w:val="0"/>
          <w:numId w:val="1011"/>
        </w:numPr>
      </w:pPr>
      <w:r>
        <w:t xml:space="preserve">Registro de eventos.</w:t>
      </w:r>
    </w:p>
    <w:p>
      <w:r>
        <w:pict>
          <v:rect style="width:0;height:1.5pt" o:hralign="center" o:hrstd="t" o:hr="t"/>
        </w:pict>
      </w:r>
    </w:p>
    <w:bookmarkEnd w:id="35"/>
    <w:bookmarkStart w:id="36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La plataforma deberá integrarse con:</w:t>
      </w:r>
    </w:p>
    <w:p>
      <w:pPr>
        <w:pStyle w:val="Compact"/>
        <w:numPr>
          <w:ilvl w:val="0"/>
          <w:numId w:val="1012"/>
        </w:numPr>
      </w:pPr>
      <w:r>
        <w:t xml:space="preserve">Firebase.</w:t>
      </w:r>
    </w:p>
    <w:p>
      <w:pPr>
        <w:pStyle w:val="Compact"/>
        <w:numPr>
          <w:ilvl w:val="0"/>
          <w:numId w:val="1012"/>
        </w:numPr>
      </w:pPr>
      <w:r>
        <w:t xml:space="preserve">Google Analytics 4.</w:t>
      </w:r>
    </w:p>
    <w:p>
      <w:pPr>
        <w:pStyle w:val="Compact"/>
        <w:numPr>
          <w:ilvl w:val="0"/>
          <w:numId w:val="1012"/>
        </w:numPr>
      </w:pPr>
      <w:r>
        <w:t xml:space="preserve">Google Tag Manager.</w:t>
      </w:r>
    </w:p>
    <w:p>
      <w:pPr>
        <w:pStyle w:val="Compact"/>
        <w:numPr>
          <w:ilvl w:val="0"/>
          <w:numId w:val="1012"/>
        </w:numPr>
      </w:pPr>
      <w:r>
        <w:t xml:space="preserve">OpenAI.</w:t>
      </w:r>
    </w:p>
    <w:p>
      <w:pPr>
        <w:pStyle w:val="Compact"/>
        <w:numPr>
          <w:ilvl w:val="0"/>
          <w:numId w:val="1012"/>
        </w:numPr>
      </w:pPr>
      <w:r>
        <w:t xml:space="preserve">Google Gemini.</w:t>
      </w:r>
    </w:p>
    <w:p>
      <w:pPr>
        <w:pStyle w:val="Compact"/>
        <w:numPr>
          <w:ilvl w:val="0"/>
          <w:numId w:val="1012"/>
        </w:numPr>
      </w:pPr>
      <w:r>
        <w:t xml:space="preserve">Proveedores de pago.</w:t>
      </w:r>
    </w:p>
    <w:p>
      <w:pPr>
        <w:pStyle w:val="Compact"/>
        <w:numPr>
          <w:ilvl w:val="0"/>
          <w:numId w:val="1012"/>
        </w:numPr>
      </w:pPr>
      <w:r>
        <w:t xml:space="preserve">Servicios de correo electrónico.</w:t>
      </w:r>
    </w:p>
    <w:p>
      <w:pPr>
        <w:pStyle w:val="Compact"/>
        <w:numPr>
          <w:ilvl w:val="0"/>
          <w:numId w:val="1012"/>
        </w:numPr>
      </w:pPr>
      <w:r>
        <w:t xml:space="preserve">Servicios de mensajería.</w:t>
      </w:r>
    </w:p>
    <w:p>
      <w:pPr>
        <w:pStyle w:val="FirstParagraph"/>
      </w:pPr>
      <w:r>
        <w:t xml:space="preserve">Cada integración se abstraerá mediante adaptadores para facilitar su sustitución.</w:t>
      </w:r>
    </w:p>
    <w:p>
      <w:r>
        <w:pict>
          <v:rect style="width:0;height:1.5pt" o:hralign="center" o:hrstd="t" o:hr="t"/>
        </w:pict>
      </w:r>
    </w:p>
    <w:bookmarkEnd w:id="36"/>
    <w:bookmarkStart w:id="37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La arquitectura debe permitir:</w:t>
      </w:r>
    </w:p>
    <w:p>
      <w:pPr>
        <w:pStyle w:val="Compact"/>
        <w:numPr>
          <w:ilvl w:val="0"/>
          <w:numId w:val="1013"/>
        </w:numPr>
      </w:pPr>
      <w:r>
        <w:t xml:space="preserve">Incorporar nuevas funcionalidades sin modificar módulos existentes.</w:t>
      </w:r>
    </w:p>
    <w:p>
      <w:pPr>
        <w:pStyle w:val="Compact"/>
        <w:numPr>
          <w:ilvl w:val="0"/>
          <w:numId w:val="1013"/>
        </w:numPr>
      </w:pPr>
      <w:r>
        <w:t xml:space="preserve">Añadir nuevas aplicaciones (por ejemplo, una app móvil).</w:t>
      </w:r>
    </w:p>
    <w:p>
      <w:pPr>
        <w:pStyle w:val="Compact"/>
        <w:numPr>
          <w:ilvl w:val="0"/>
          <w:numId w:val="1013"/>
        </w:numPr>
      </w:pPr>
      <w:r>
        <w:t xml:space="preserve">Incorporar nuevas organizaciones.</w:t>
      </w:r>
    </w:p>
    <w:p>
      <w:pPr>
        <w:pStyle w:val="Compact"/>
        <w:numPr>
          <w:ilvl w:val="0"/>
          <w:numId w:val="1013"/>
        </w:numPr>
      </w:pPr>
      <w:r>
        <w:t xml:space="preserve">Sustituir proveedores externos.</w:t>
      </w:r>
    </w:p>
    <w:p>
      <w:pPr>
        <w:pStyle w:val="Compact"/>
        <w:numPr>
          <w:ilvl w:val="0"/>
          <w:numId w:val="1013"/>
        </w:numPr>
      </w:pPr>
      <w:r>
        <w:t xml:space="preserve">Escalar equipos de desarrollo.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El sistema deberá incorporar:</w:t>
      </w:r>
    </w:p>
    <w:p>
      <w:pPr>
        <w:pStyle w:val="Compact"/>
        <w:numPr>
          <w:ilvl w:val="0"/>
          <w:numId w:val="1014"/>
        </w:numPr>
      </w:pPr>
      <w:r>
        <w:t xml:space="preserve">Registro estructurado de eventos.</w:t>
      </w:r>
    </w:p>
    <w:p>
      <w:pPr>
        <w:pStyle w:val="Compact"/>
        <w:numPr>
          <w:ilvl w:val="0"/>
          <w:numId w:val="1014"/>
        </w:numPr>
      </w:pPr>
      <w:r>
        <w:t xml:space="preserve">Auditoría de operaciones críticas.</w:t>
      </w:r>
    </w:p>
    <w:p>
      <w:pPr>
        <w:pStyle w:val="Compact"/>
        <w:numPr>
          <w:ilvl w:val="0"/>
          <w:numId w:val="1014"/>
        </w:numPr>
      </w:pPr>
      <w:r>
        <w:t xml:space="preserve">Monitoreo de errores.</w:t>
      </w:r>
    </w:p>
    <w:p>
      <w:pPr>
        <w:pStyle w:val="Compact"/>
        <w:numPr>
          <w:ilvl w:val="0"/>
          <w:numId w:val="1014"/>
        </w:numPr>
      </w:pPr>
      <w:r>
        <w:t xml:space="preserve">Métricas de rendimiento.</w:t>
      </w:r>
    </w:p>
    <w:p>
      <w:pPr>
        <w:pStyle w:val="Compact"/>
        <w:numPr>
          <w:ilvl w:val="0"/>
          <w:numId w:val="1014"/>
        </w:numPr>
      </w:pPr>
      <w:r>
        <w:t xml:space="preserve">Métricas de negocio.</w:t>
      </w:r>
    </w:p>
    <w:p>
      <w:r>
        <w:pict>
          <v:rect style="width:0;height:1.5pt" o:hralign="center" o:hrstd="t" o:hr="t"/>
        </w:pict>
      </w:r>
    </w:p>
    <w:bookmarkEnd w:id="38"/>
    <w:bookmarkStart w:id="39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Acoplamiento excesivo entre módulos.</w:t>
      </w:r>
    </w:p>
    <w:p>
      <w:pPr>
        <w:pStyle w:val="Compact"/>
        <w:numPr>
          <w:ilvl w:val="0"/>
          <w:numId w:val="1015"/>
        </w:numPr>
      </w:pPr>
      <w:r>
        <w:t xml:space="preserve">Crecimiento desordenado del dominio.</w:t>
      </w:r>
    </w:p>
    <w:p>
      <w:pPr>
        <w:pStyle w:val="Compact"/>
        <w:numPr>
          <w:ilvl w:val="0"/>
          <w:numId w:val="1015"/>
        </w:numPr>
      </w:pPr>
      <w:r>
        <w:t xml:space="preserve">Consultas ineficientes en Firestore.</w:t>
      </w:r>
    </w:p>
    <w:p>
      <w:pPr>
        <w:pStyle w:val="Compact"/>
        <w:numPr>
          <w:ilvl w:val="0"/>
          <w:numId w:val="1015"/>
        </w:numPr>
      </w:pPr>
      <w:r>
        <w:t xml:space="preserve">Dependencia de servicios externos.</w:t>
      </w:r>
    </w:p>
    <w:p>
      <w:pPr>
        <w:pStyle w:val="Compact"/>
        <w:numPr>
          <w:ilvl w:val="0"/>
          <w:numId w:val="1015"/>
        </w:numPr>
      </w:pPr>
      <w:r>
        <w:t xml:space="preserve">Deuda técnica por falta de revisiones.</w:t>
      </w:r>
    </w:p>
    <w:p>
      <w:pPr>
        <w:pStyle w:val="FirstParagraph"/>
      </w:pPr>
      <w:r>
        <w:t xml:space="preserve">Cada riesgo deberá ser evaluado antes de implementar nuevos módulos.</w:t>
      </w:r>
    </w:p>
    <w:p>
      <w:r>
        <w:pict>
          <v:rect style="width:0;height:1.5pt" o:hralign="center" o:hrstd="t" o:hr="t"/>
        </w:pict>
      </w:r>
    </w:p>
    <w:bookmarkEnd w:id="39"/>
    <w:bookmarkStart w:id="40" w:name="decisiones-arquitectónicas"/>
    <w:p>
      <w:pPr>
        <w:pStyle w:val="Heading1"/>
      </w:pPr>
      <w:r>
        <w:t xml:space="preserve">Decisiones Arquitectónicas</w:t>
      </w:r>
    </w:p>
    <w:p>
      <w:pPr>
        <w:pStyle w:val="FirstParagraph"/>
      </w:pPr>
      <w:r>
        <w:t xml:space="preserve">Las decisiones relevantes se documentarán mediante Architecture Decision Records (ADR).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6"/>
        </w:numPr>
      </w:pPr>
      <w:r>
        <w:t xml:space="preserve">ADR001 – Clean Architecture.</w:t>
      </w:r>
    </w:p>
    <w:p>
      <w:pPr>
        <w:pStyle w:val="Compact"/>
        <w:numPr>
          <w:ilvl w:val="0"/>
          <w:numId w:val="1016"/>
        </w:numPr>
      </w:pPr>
      <w:r>
        <w:t xml:space="preserve">ADR002 – Firebase como Backend.</w:t>
      </w:r>
    </w:p>
    <w:p>
      <w:pPr>
        <w:pStyle w:val="Compact"/>
        <w:numPr>
          <w:ilvl w:val="0"/>
          <w:numId w:val="1016"/>
        </w:numPr>
      </w:pPr>
      <w:r>
        <w:t xml:space="preserve">ADR003 – Organización por Dominios.</w:t>
      </w:r>
    </w:p>
    <w:p>
      <w:pPr>
        <w:pStyle w:val="Compact"/>
        <w:numPr>
          <w:ilvl w:val="0"/>
          <w:numId w:val="1016"/>
        </w:numPr>
      </w:pPr>
      <w:r>
        <w:t xml:space="preserve">ADR004 – Multi-tenant.</w:t>
      </w:r>
    </w:p>
    <w:p>
      <w:pPr>
        <w:pStyle w:val="Compact"/>
        <w:numPr>
          <w:ilvl w:val="0"/>
          <w:numId w:val="1016"/>
        </w:numPr>
      </w:pPr>
      <w:r>
        <w:t xml:space="preserve">ADR005 – Estrategia de Firestore.</w:t>
      </w:r>
    </w:p>
    <w:p>
      <w:r>
        <w:pict>
          <v:rect style="width:0;height:1.5pt" o:hralign="center" o:hrstd="t" o:hr="t"/>
        </w:pict>
      </w:r>
    </w:p>
    <w:bookmarkEnd w:id="40"/>
    <w:bookmarkStart w:id="41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Arquitectura general definida.</w:t>
      </w:r>
    </w:p>
    <w:p>
      <w:pPr>
        <w:pStyle w:val="Compact"/>
        <w:numPr>
          <w:ilvl w:val="0"/>
          <w:numId w:val="1017"/>
        </w:numPr>
      </w:pPr>
      <w:r>
        <w:t xml:space="preserve">Dominios identificados.</w:t>
      </w:r>
    </w:p>
    <w:p>
      <w:pPr>
        <w:pStyle w:val="Compact"/>
        <w:numPr>
          <w:ilvl w:val="0"/>
          <w:numId w:val="1017"/>
        </w:numPr>
      </w:pPr>
      <w:r>
        <w:t xml:space="preserve">Capas documentadas.</w:t>
      </w:r>
    </w:p>
    <w:p>
      <w:pPr>
        <w:pStyle w:val="Compact"/>
        <w:numPr>
          <w:ilvl w:val="0"/>
          <w:numId w:val="1017"/>
        </w:numPr>
      </w:pPr>
      <w:r>
        <w:t xml:space="preserve">Integraciones definidas.</w:t>
      </w:r>
    </w:p>
    <w:p>
      <w:pPr>
        <w:pStyle w:val="Compact"/>
        <w:numPr>
          <w:ilvl w:val="0"/>
          <w:numId w:val="1017"/>
        </w:numPr>
      </w:pPr>
      <w:r>
        <w:t xml:space="preserve">Estrategia de seguridad establecida.</w:t>
      </w:r>
    </w:p>
    <w:p>
      <w:pPr>
        <w:pStyle w:val="Compact"/>
        <w:numPr>
          <w:ilvl w:val="0"/>
          <w:numId w:val="1017"/>
        </w:numPr>
      </w:pPr>
      <w:r>
        <w:t xml:space="preserve">Estrategia de escalabilidad documentada.</w:t>
      </w:r>
    </w:p>
    <w:p>
      <w:pPr>
        <w:pStyle w:val="Compact"/>
        <w:numPr>
          <w:ilvl w:val="0"/>
          <w:numId w:val="1017"/>
        </w:numPr>
      </w:pPr>
      <w:r>
        <w:t xml:space="preserve">Riesgos identificados.</w:t>
      </w:r>
    </w:p>
    <w:p>
      <w:pPr>
        <w:pStyle w:val="Compact"/>
        <w:numPr>
          <w:ilvl w:val="0"/>
          <w:numId w:val="1017"/>
        </w:numPr>
      </w:pPr>
      <w:r>
        <w:t xml:space="preserve">ADR habilitados.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SOFTWARE_DEVELOPMENT_WORKFLOW.md</w:t>
      </w:r>
    </w:p>
    <w:p>
      <w:pPr>
        <w:pStyle w:val="Compact"/>
        <w:numPr>
          <w:ilvl w:val="0"/>
          <w:numId w:val="1018"/>
        </w:numPr>
      </w:pPr>
      <w:r>
        <w:t xml:space="preserve">MASTER_DEVELOPMENT_ROADMAP.md</w:t>
      </w:r>
    </w:p>
    <w:p>
      <w:r>
        <w:pict>
          <v:rect style="width:0;height:1.5pt" o:hralign="center" o:hrstd="t" o:hr="t"/>
        </w:pict>
      </w:r>
    </w:p>
    <w:bookmarkEnd w:id="42"/>
    <w:bookmarkStart w:id="43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servir como base arquitectónica del proyecto.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2026-06-30T16:44:06Z</dcterms:created>
  <dcterms:modified xsi:type="dcterms:W3CDTF">2026-06-30T16:44:06Z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