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PAYMENT002 — PAYMENT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oficial de datos del dominio Payment como fuente de verdad para las transacciones financieras.</w:t>
      </w:r>
    </w:p>
    <w:p>
      <w:pPr>
        <w:pStyle w:val="Heading3"/>
      </w:pPr>
      <w:r>
        <w:t>Arquitectura</w:t>
      </w:r>
    </w:p>
    <w:p>
      <w:r>
        <w:t>organizations/{organizationId}/payments/{paymentId}</w:t>
      </w:r>
    </w:p>
    <w:p>
      <w:pPr>
        <w:pStyle w:val="Heading3"/>
      </w:pPr>
      <w:r>
        <w:t>Aggregate Root</w:t>
      </w:r>
    </w:p>
    <w:p>
      <w:r>
        <w:t>Payment identificado por organizationId y paymentId.</w:t>
      </w:r>
    </w:p>
    <w:p>
      <w:pPr>
        <w:pStyle w:val="Heading3"/>
      </w:pPr>
      <w:r>
        <w:t>Identificación</w:t>
      </w:r>
    </w:p>
    <w:p>
      <w:r>
        <w:t>id, organizationId, paymentNumber, orderId, customerId, status.</w:t>
      </w:r>
    </w:p>
    <w:p>
      <w:pPr>
        <w:pStyle w:val="Heading3"/>
      </w:pPr>
      <w:r>
        <w:t>Información Financiera</w:t>
      </w:r>
    </w:p>
    <w:p>
      <w:r>
        <w:t>amount, currency, exchangeRate, taxAmount, feeAmount, netAmount.</w:t>
      </w:r>
    </w:p>
    <w:p>
      <w:pPr>
        <w:pStyle w:val="Heading3"/>
      </w:pPr>
      <w:r>
        <w:t>Métodos de Pago</w:t>
      </w:r>
    </w:p>
    <w:p>
      <w:r>
        <w:t>paymentMethodId, provider, providerTransactionId, installments y authorizationCode.</w:t>
      </w:r>
    </w:p>
    <w:p>
      <w:pPr>
        <w:pStyle w:val="Heading3"/>
      </w:pPr>
      <w:r>
        <w:t>Transacciones</w:t>
      </w:r>
    </w:p>
    <w:p>
      <w:r>
        <w:t>authorization, capture, refund, void y reconciliationStatus.</w:t>
      </w:r>
    </w:p>
    <w:p>
      <w:pPr>
        <w:pStyle w:val="Heading3"/>
      </w:pPr>
      <w:r>
        <w:t>Comprobantes</w:t>
      </w:r>
    </w:p>
    <w:p>
      <w:r>
        <w:t>receiptNumber, invoiceReference, receiptUrl y documentIds.</w:t>
      </w:r>
    </w:p>
    <w:p>
      <w:pPr>
        <w:pStyle w:val="Heading3"/>
      </w:pPr>
      <w:r>
        <w:t>Relaciones</w:t>
      </w:r>
    </w:p>
    <w:p>
      <w:r>
        <w:t>orderId, refundIds, communicationIds y auditIds.</w:t>
      </w:r>
    </w:p>
    <w:p>
      <w:pPr>
        <w:pStyle w:val="Heading3"/>
      </w:pPr>
      <w:r>
        <w:t>Auditoría</w:t>
      </w:r>
    </w:p>
    <w:p>
      <w:r>
        <w:t>createdAt, createdBy, updatedAt, updatedBy, capturedAt y refundedAt.</w:t>
      </w:r>
    </w:p>
    <w:p>
      <w:pPr>
        <w:pStyle w:val="Heading3"/>
      </w:pPr>
      <w:r>
        <w:t>Subcolecciones</w:t>
      </w:r>
    </w:p>
    <w:p>
      <w:r>
        <w:t>transactions, refunds, audit, timeline y receipts.</w:t>
      </w:r>
    </w:p>
    <w:p>
      <w:pPr>
        <w:pStyle w:val="Heading3"/>
      </w:pPr>
      <w:r>
        <w:t>Índices</w:t>
      </w:r>
    </w:p>
    <w:p>
      <w:r>
        <w:t>orderId+status, customerId+status, providerTransactionId, paymentNumber.</w:t>
      </w:r>
    </w:p>
    <w:p>
      <w:pPr>
        <w:pStyle w:val="Heading3"/>
      </w:pPr>
      <w:r>
        <w:t>Integraciones</w:t>
      </w:r>
    </w:p>
    <w:p>
      <w:r>
        <w:t>Order Management, CRM, Analytics, Communication Platform y pasarelas de pago.</w:t>
      </w:r>
    </w:p>
    <w:p>
      <w:pPr>
        <w:pStyle w:val="Heading3"/>
      </w:pPr>
      <w:r>
        <w:t>Checklist</w:t>
      </w:r>
    </w:p>
    <w:p>
      <w:r>
        <w:t>Modelo definido, relaciones documentadas, auditoría incluida, subcolecciones e índices identificados.</w:t>
      </w:r>
    </w:p>
    <w:p>
      <w:pPr>
        <w:pStyle w:val="Heading3"/>
      </w:pPr>
      <w:r>
        <w:t>Estado</w:t>
      </w:r>
    </w:p>
    <w:p>
      <w:r>
        <w:t>Aprobado como modelo oficial de datos del dominio 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