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customer003-customer-use-cases"/>
    <w:p>
      <w:pPr>
        <w:pStyle w:val="Heading1"/>
      </w:pPr>
      <w:r>
        <w:t xml:space="preserve">CUSTOMER003 — CUSTOMER USE CASES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los casos de uso del dominio</w:t>
      </w:r>
      <w:r>
        <w:t xml:space="preserve"> </w:t>
      </w:r>
      <w:r>
        <w:rPr>
          <w:b/>
          <w:bCs/>
        </w:rPr>
        <w:t xml:space="preserve">Customers</w:t>
      </w:r>
      <w:r>
        <w:t xml:space="preserve">.</w:t>
      </w:r>
    </w:p>
    <w:p>
      <w:pPr>
        <w:pStyle w:val="BodyText"/>
      </w:pPr>
      <w:r>
        <w:t xml:space="preserve">Este documento especifica las operaciones funcionales que la plataforma permitirá realizar sobre los clientes, estableciendo reglas de negocio, precondiciones, postcondiciones y eventos asociados.</w:t>
      </w:r>
    </w:p>
    <w:p>
      <w:r>
        <w:pict>
          <v:rect style="width:0;height:1.5pt" o:hralign="center" o:hrstd="t" o:hr="t"/>
        </w:pict>
      </w:r>
    </w:p>
    <w:bookmarkEnd w:id="22"/>
    <w:bookmarkStart w:id="23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Incluye:</w:t>
      </w:r>
    </w:p>
    <w:p>
      <w:pPr>
        <w:pStyle w:val="Compact"/>
        <w:numPr>
          <w:ilvl w:val="0"/>
          <w:numId w:val="1001"/>
        </w:numPr>
      </w:pPr>
      <w:r>
        <w:t xml:space="preserve">Gestión del perfil.</w:t>
      </w:r>
    </w:p>
    <w:p>
      <w:pPr>
        <w:pStyle w:val="Compact"/>
        <w:numPr>
          <w:ilvl w:val="0"/>
          <w:numId w:val="1001"/>
        </w:numPr>
      </w:pPr>
      <w:r>
        <w:t xml:space="preserve">Búsqueda.</w:t>
      </w:r>
    </w:p>
    <w:p>
      <w:pPr>
        <w:pStyle w:val="Compact"/>
        <w:numPr>
          <w:ilvl w:val="0"/>
          <w:numId w:val="1001"/>
        </w:numPr>
      </w:pPr>
      <w:r>
        <w:t xml:space="preserve">Segmentación.</w:t>
      </w:r>
    </w:p>
    <w:p>
      <w:pPr>
        <w:pStyle w:val="Compact"/>
        <w:numPr>
          <w:ilvl w:val="0"/>
          <w:numId w:val="1001"/>
        </w:numPr>
      </w:pPr>
      <w:r>
        <w:t xml:space="preserve">Archivado.</w:t>
      </w:r>
    </w:p>
    <w:p>
      <w:pPr>
        <w:pStyle w:val="Compact"/>
        <w:numPr>
          <w:ilvl w:val="0"/>
          <w:numId w:val="1001"/>
        </w:numPr>
      </w:pPr>
      <w:r>
        <w:t xml:space="preserve">Consentimientos.</w:t>
      </w:r>
    </w:p>
    <w:p>
      <w:pPr>
        <w:pStyle w:val="Compact"/>
        <w:numPr>
          <w:ilvl w:val="0"/>
          <w:numId w:val="1001"/>
        </w:numPr>
      </w:pPr>
      <w:r>
        <w:t xml:space="preserve">Fidelización.</w:t>
      </w:r>
    </w:p>
    <w:p>
      <w:pPr>
        <w:pStyle w:val="Compact"/>
        <w:numPr>
          <w:ilvl w:val="0"/>
          <w:numId w:val="1001"/>
        </w:numPr>
      </w:pPr>
      <w:r>
        <w:t xml:space="preserve">Integración con otros dominios.</w:t>
      </w:r>
    </w:p>
    <w:p>
      <w:pPr>
        <w:pStyle w:val="FirstParagraph"/>
      </w:pPr>
      <w:r>
        <w:t xml:space="preserve">No incluye:</w:t>
      </w:r>
    </w:p>
    <w:p>
      <w:pPr>
        <w:pStyle w:val="Compact"/>
        <w:numPr>
          <w:ilvl w:val="0"/>
          <w:numId w:val="1002"/>
        </w:numPr>
      </w:pPr>
      <w:r>
        <w:t xml:space="preserve">Autenticación.</w:t>
      </w:r>
    </w:p>
    <w:p>
      <w:pPr>
        <w:pStyle w:val="Compact"/>
        <w:numPr>
          <w:ilvl w:val="0"/>
          <w:numId w:val="1002"/>
        </w:numPr>
      </w:pPr>
      <w:r>
        <w:t xml:space="preserve">Pagos.</w:t>
      </w:r>
    </w:p>
    <w:p>
      <w:pPr>
        <w:pStyle w:val="Compact"/>
        <w:numPr>
          <w:ilvl w:val="0"/>
          <w:numId w:val="1002"/>
        </w:numPr>
      </w:pPr>
      <w:r>
        <w:t xml:space="preserve">Agenda.</w:t>
      </w:r>
    </w:p>
    <w:p>
      <w:pPr>
        <w:pStyle w:val="Compact"/>
        <w:numPr>
          <w:ilvl w:val="0"/>
          <w:numId w:val="1002"/>
        </w:numPr>
      </w:pPr>
      <w:r>
        <w:t xml:space="preserve">Historial clínico.</w:t>
      </w:r>
    </w:p>
    <w:p>
      <w:r>
        <w:pict>
          <v:rect style="width:0;height:1.5pt" o:hralign="center" o:hrstd="t" o:hr="t"/>
        </w:pict>
      </w:r>
    </w:p>
    <w:bookmarkEnd w:id="23"/>
    <w:bookmarkStart w:id="24" w:name="principios"/>
    <w:p>
      <w:pPr>
        <w:pStyle w:val="Heading1"/>
      </w:pPr>
      <w:r>
        <w:t xml:space="preserve">Principios</w:t>
      </w:r>
    </w:p>
    <w:p>
      <w:pPr>
        <w:pStyle w:val="FirstParagraph"/>
      </w:pPr>
      <w:r>
        <w:t xml:space="preserve">Todos los casos de uso deberán cumplir:</w:t>
      </w:r>
    </w:p>
    <w:p>
      <w:pPr>
        <w:pStyle w:val="Compact"/>
        <w:numPr>
          <w:ilvl w:val="0"/>
          <w:numId w:val="1003"/>
        </w:numPr>
      </w:pPr>
      <w:r>
        <w:t xml:space="preserve">Validación de permisos.</w:t>
      </w:r>
    </w:p>
    <w:p>
      <w:pPr>
        <w:pStyle w:val="Compact"/>
        <w:numPr>
          <w:ilvl w:val="0"/>
          <w:numId w:val="1003"/>
        </w:numPr>
      </w:pPr>
      <w:r>
        <w:t xml:space="preserve">Contexto de organización.</w:t>
      </w:r>
    </w:p>
    <w:p>
      <w:pPr>
        <w:pStyle w:val="Compact"/>
        <w:numPr>
          <w:ilvl w:val="0"/>
          <w:numId w:val="1003"/>
        </w:numPr>
      </w:pPr>
      <w:r>
        <w:t xml:space="preserve">Auditoría.</w:t>
      </w:r>
    </w:p>
    <w:p>
      <w:pPr>
        <w:pStyle w:val="Compact"/>
        <w:numPr>
          <w:ilvl w:val="0"/>
          <w:numId w:val="1003"/>
        </w:numPr>
      </w:pPr>
      <w:r>
        <w:t xml:space="preserve">Idempotencia cuando aplique.</w:t>
      </w:r>
    </w:p>
    <w:p>
      <w:pPr>
        <w:pStyle w:val="Compact"/>
        <w:numPr>
          <w:ilvl w:val="0"/>
          <w:numId w:val="1003"/>
        </w:numPr>
      </w:pPr>
      <w:r>
        <w:t xml:space="preserve">Integración con Logging y Result Pattern.</w:t>
      </w:r>
    </w:p>
    <w:p>
      <w:r>
        <w:pict>
          <v:rect style="width:0;height:1.5pt" o:hralign="center" o:hrstd="t" o:hr="t"/>
        </w:pict>
      </w:r>
    </w:p>
    <w:bookmarkEnd w:id="24"/>
    <w:bookmarkStart w:id="29" w:name="uc001-crear-cliente"/>
    <w:p>
      <w:pPr>
        <w:pStyle w:val="Heading1"/>
      </w:pPr>
      <w:r>
        <w:t xml:space="preserve">UC001 — Crear Cliente</w:t>
      </w:r>
    </w:p>
    <w:bookmarkStart w:id="28" w:name="objetivo-1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Registrar un nuevo cliente en la organización.</w:t>
      </w:r>
    </w:p>
    <w:bookmarkStart w:id="25" w:name="precondiciones"/>
    <w:p>
      <w:pPr>
        <w:pStyle w:val="Heading3"/>
      </w:pPr>
      <w:r>
        <w:t xml:space="preserve">Precondiciones</w:t>
      </w:r>
    </w:p>
    <w:p>
      <w:pPr>
        <w:pStyle w:val="Compact"/>
        <w:numPr>
          <w:ilvl w:val="0"/>
          <w:numId w:val="1004"/>
        </w:numPr>
      </w:pPr>
      <w:r>
        <w:t xml:space="preserve">El usuario tiene permiso</w:t>
      </w:r>
      <w:r>
        <w:t xml:space="preserve"> </w:t>
      </w:r>
      <w:r>
        <w:rPr>
          <w:rStyle w:val="VerbatimChar"/>
        </w:rPr>
        <w:t xml:space="preserve">customers.create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La organización existe.</w:t>
      </w:r>
    </w:p>
    <w:p>
      <w:pPr>
        <w:pStyle w:val="Compact"/>
        <w:numPr>
          <w:ilvl w:val="0"/>
          <w:numId w:val="1004"/>
        </w:numPr>
      </w:pPr>
      <w:r>
        <w:t xml:space="preserve">Los datos mínimos son válidos.</w:t>
      </w:r>
    </w:p>
    <w:bookmarkEnd w:id="25"/>
    <w:bookmarkStart w:id="26" w:name="flujo"/>
    <w:p>
      <w:pPr>
        <w:pStyle w:val="Heading3"/>
      </w:pPr>
      <w:r>
        <w:t xml:space="preserve">Flujo</w:t>
      </w:r>
    </w:p>
    <w:p>
      <w:pPr>
        <w:pStyle w:val="Compact"/>
        <w:numPr>
          <w:ilvl w:val="0"/>
          <w:numId w:val="1005"/>
        </w:numPr>
      </w:pPr>
      <w:r>
        <w:t xml:space="preserve">Validar datos.</w:t>
      </w:r>
    </w:p>
    <w:p>
      <w:pPr>
        <w:pStyle w:val="Compact"/>
        <w:numPr>
          <w:ilvl w:val="0"/>
          <w:numId w:val="1005"/>
        </w:numPr>
      </w:pPr>
      <w:r>
        <w:t xml:space="preserve">Comprobar duplicados.</w:t>
      </w:r>
    </w:p>
    <w:p>
      <w:pPr>
        <w:pStyle w:val="Compact"/>
        <w:numPr>
          <w:ilvl w:val="0"/>
          <w:numId w:val="1005"/>
        </w:numPr>
      </w:pPr>
      <w:r>
        <w:t xml:space="preserve">Crear el documento Customer.</w:t>
      </w:r>
    </w:p>
    <w:p>
      <w:pPr>
        <w:pStyle w:val="Compact"/>
        <w:numPr>
          <w:ilvl w:val="0"/>
          <w:numId w:val="1005"/>
        </w:numPr>
      </w:pPr>
      <w:r>
        <w:t xml:space="preserve">Registrar auditoría.</w:t>
      </w:r>
    </w:p>
    <w:p>
      <w:pPr>
        <w:pStyle w:val="Compact"/>
        <w:numPr>
          <w:ilvl w:val="0"/>
          <w:numId w:val="1005"/>
        </w:numPr>
      </w:pPr>
      <w:r>
        <w:t xml:space="preserve">Emitir evento</w:t>
      </w:r>
      <w:r>
        <w:t xml:space="preserve"> </w:t>
      </w:r>
      <w:r>
        <w:rPr>
          <w:rStyle w:val="VerbatimChar"/>
        </w:rPr>
        <w:t xml:space="preserve">CustomerCreated</w:t>
      </w:r>
      <w:r>
        <w:t xml:space="preserve">.</w:t>
      </w:r>
    </w:p>
    <w:bookmarkEnd w:id="26"/>
    <w:bookmarkStart w:id="27" w:name="resultado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Cliente disponible para el resto de dominios.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3" w:name="uc002-obtener-cliente"/>
    <w:p>
      <w:pPr>
        <w:pStyle w:val="Heading1"/>
      </w:pPr>
      <w:r>
        <w:t xml:space="preserve">UC002 — Obtener Cliente</w:t>
      </w:r>
    </w:p>
    <w:bookmarkStart w:id="32" w:name="objetivo-2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Consultar la información de un cliente.</w:t>
      </w:r>
    </w:p>
    <w:bookmarkStart w:id="30" w:name="precondiciones-1"/>
    <w:p>
      <w:pPr>
        <w:pStyle w:val="Heading3"/>
      </w:pPr>
      <w:r>
        <w:t xml:space="preserve">Precondiciones</w:t>
      </w:r>
    </w:p>
    <w:p>
      <w:pPr>
        <w:pStyle w:val="Compact"/>
        <w:numPr>
          <w:ilvl w:val="0"/>
          <w:numId w:val="1006"/>
        </w:numPr>
      </w:pPr>
      <w:r>
        <w:t xml:space="preserve">Permiso</w:t>
      </w:r>
      <w:r>
        <w:t xml:space="preserve"> </w:t>
      </w:r>
      <w:r>
        <w:rPr>
          <w:rStyle w:val="VerbatimChar"/>
        </w:rPr>
        <w:t xml:space="preserve">customers.read</w:t>
      </w:r>
      <w:r>
        <w:t xml:space="preserve">.</w:t>
      </w:r>
    </w:p>
    <w:bookmarkEnd w:id="30"/>
    <w:bookmarkStart w:id="31" w:name="flujo-1"/>
    <w:p>
      <w:pPr>
        <w:pStyle w:val="Heading3"/>
      </w:pPr>
      <w:r>
        <w:t xml:space="preserve">Flujo</w:t>
      </w:r>
    </w:p>
    <w:p>
      <w:pPr>
        <w:pStyle w:val="Compact"/>
        <w:numPr>
          <w:ilvl w:val="0"/>
          <w:numId w:val="1007"/>
        </w:numPr>
      </w:pPr>
      <w:r>
        <w:t xml:space="preserve">Validar permisos.</w:t>
      </w:r>
    </w:p>
    <w:p>
      <w:pPr>
        <w:pStyle w:val="Compact"/>
        <w:numPr>
          <w:ilvl w:val="0"/>
          <w:numId w:val="1007"/>
        </w:numPr>
      </w:pPr>
      <w:r>
        <w:t xml:space="preserve">Verificar organización.</w:t>
      </w:r>
    </w:p>
    <w:p>
      <w:pPr>
        <w:pStyle w:val="Compact"/>
        <w:numPr>
          <w:ilvl w:val="0"/>
          <w:numId w:val="1007"/>
        </w:numPr>
      </w:pPr>
      <w:r>
        <w:t xml:space="preserve">Recuperar el documento.</w:t>
      </w:r>
    </w:p>
    <w:p>
      <w:pPr>
        <w:pStyle w:val="Compact"/>
        <w:numPr>
          <w:ilvl w:val="0"/>
          <w:numId w:val="1007"/>
        </w:numPr>
      </w:pPr>
      <w:r>
        <w:t xml:space="preserve">Devolver la entidad.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6" w:name="uc003-actualizar-cliente"/>
    <w:p>
      <w:pPr>
        <w:pStyle w:val="Heading1"/>
      </w:pPr>
      <w:r>
        <w:t xml:space="preserve">UC003 — Actualizar Cliente</w:t>
      </w:r>
    </w:p>
    <w:bookmarkStart w:id="35" w:name="objetivo-3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Modificar información del perfil.</w:t>
      </w:r>
    </w:p>
    <w:bookmarkStart w:id="34" w:name="flujo-2"/>
    <w:p>
      <w:pPr>
        <w:pStyle w:val="Heading3"/>
      </w:pPr>
      <w:r>
        <w:t xml:space="preserve">Flujo</w:t>
      </w:r>
    </w:p>
    <w:p>
      <w:pPr>
        <w:pStyle w:val="Compact"/>
        <w:numPr>
          <w:ilvl w:val="0"/>
          <w:numId w:val="1008"/>
        </w:numPr>
      </w:pPr>
      <w:r>
        <w:t xml:space="preserve">Validar permisos.</w:t>
      </w:r>
    </w:p>
    <w:p>
      <w:pPr>
        <w:pStyle w:val="Compact"/>
        <w:numPr>
          <w:ilvl w:val="0"/>
          <w:numId w:val="1008"/>
        </w:numPr>
      </w:pPr>
      <w:r>
        <w:t xml:space="preserve">Validar cambios.</w:t>
      </w:r>
    </w:p>
    <w:p>
      <w:pPr>
        <w:pStyle w:val="Compact"/>
        <w:numPr>
          <w:ilvl w:val="0"/>
          <w:numId w:val="1008"/>
        </w:numPr>
      </w:pPr>
      <w:r>
        <w:t xml:space="preserve">Actualizar únicamente los campos permitidos.</w:t>
      </w:r>
    </w:p>
    <w:p>
      <w:pPr>
        <w:pStyle w:val="Compact"/>
        <w:numPr>
          <w:ilvl w:val="0"/>
          <w:numId w:val="1008"/>
        </w:numPr>
      </w:pPr>
      <w:r>
        <w:t xml:space="preserve">Registrar auditoría.</w:t>
      </w:r>
    </w:p>
    <w:p>
      <w:pPr>
        <w:pStyle w:val="Compact"/>
        <w:numPr>
          <w:ilvl w:val="0"/>
          <w:numId w:val="1008"/>
        </w:numPr>
      </w:pPr>
      <w:r>
        <w:t xml:space="preserve">Emitir</w:t>
      </w:r>
      <w:r>
        <w:t xml:space="preserve"> </w:t>
      </w:r>
      <w:r>
        <w:rPr>
          <w:rStyle w:val="VerbatimChar"/>
        </w:rPr>
        <w:t xml:space="preserve">CustomerUpdated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9" w:name="uc004-archivar-cliente"/>
    <w:p>
      <w:pPr>
        <w:pStyle w:val="Heading1"/>
      </w:pPr>
      <w:r>
        <w:t xml:space="preserve">UC004 — Archivar Cliente</w:t>
      </w:r>
    </w:p>
    <w:bookmarkStart w:id="38" w:name="objetivo-4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Desactivar un cliente sin eliminar su información.</w:t>
      </w:r>
    </w:p>
    <w:bookmarkStart w:id="37" w:name="flujo-3"/>
    <w:p>
      <w:pPr>
        <w:pStyle w:val="Heading3"/>
      </w:pPr>
      <w:r>
        <w:t xml:space="preserve">Flujo</w:t>
      </w:r>
    </w:p>
    <w:p>
      <w:pPr>
        <w:pStyle w:val="Compact"/>
        <w:numPr>
          <w:ilvl w:val="0"/>
          <w:numId w:val="1009"/>
        </w:numPr>
      </w:pPr>
      <w:r>
        <w:t xml:space="preserve">Validar permisos.</w:t>
      </w:r>
    </w:p>
    <w:p>
      <w:pPr>
        <w:pStyle w:val="Compact"/>
        <w:numPr>
          <w:ilvl w:val="0"/>
          <w:numId w:val="1009"/>
        </w:numPr>
      </w:pPr>
      <w:r>
        <w:t xml:space="preserve">Verificar que no existan restricciones de negocio.</w:t>
      </w:r>
    </w:p>
    <w:p>
      <w:pPr>
        <w:pStyle w:val="Compact"/>
        <w:numPr>
          <w:ilvl w:val="0"/>
          <w:numId w:val="1009"/>
        </w:numPr>
      </w:pPr>
      <w:r>
        <w:t xml:space="preserve">Cambiar el estado a</w:t>
      </w:r>
      <w:r>
        <w:t xml:space="preserve"> </w:t>
      </w:r>
      <w:r>
        <w:rPr>
          <w:rStyle w:val="VerbatimChar"/>
        </w:rPr>
        <w:t xml:space="preserve">ARCHIVED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Registrar auditoría.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0" w:name="uc005-restaurar-cliente"/>
    <w:p>
      <w:pPr>
        <w:pStyle w:val="Heading1"/>
      </w:pPr>
      <w:r>
        <w:t xml:space="preserve">UC005 — Restaurar Cliente</w:t>
      </w:r>
    </w:p>
    <w:p>
      <w:pPr>
        <w:pStyle w:val="FirstParagraph"/>
      </w:pPr>
      <w:r>
        <w:t xml:space="preserve">Permite reactivar un cliente archivado.</w:t>
      </w:r>
    </w:p>
    <w:p>
      <w:pPr>
        <w:pStyle w:val="BodyText"/>
      </w:pPr>
      <w:r>
        <w:t xml:space="preserve">Resultado esperado:</w:t>
      </w:r>
    </w:p>
    <w:p>
      <w:pPr>
        <w:pStyle w:val="Compact"/>
        <w:numPr>
          <w:ilvl w:val="0"/>
          <w:numId w:val="1010"/>
        </w:numPr>
      </w:pPr>
      <w:r>
        <w:t xml:space="preserve">Estado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Historial preservado.</w:t>
      </w:r>
    </w:p>
    <w:p>
      <w:r>
        <w:pict>
          <v:rect style="width:0;height:1.5pt" o:hralign="center" o:hrstd="t" o:hr="t"/>
        </w:pict>
      </w:r>
    </w:p>
    <w:bookmarkEnd w:id="40"/>
    <w:bookmarkStart w:id="42" w:name="uc006-buscar-clientes"/>
    <w:p>
      <w:pPr>
        <w:pStyle w:val="Heading1"/>
      </w:pPr>
      <w:r>
        <w:t xml:space="preserve">UC006 — Buscar Clientes</w:t>
      </w:r>
    </w:p>
    <w:bookmarkStart w:id="41" w:name="criterios-soportados"/>
    <w:p>
      <w:pPr>
        <w:pStyle w:val="Heading2"/>
      </w:pPr>
      <w:r>
        <w:t xml:space="preserve">Criterios soportados</w:t>
      </w:r>
    </w:p>
    <w:p>
      <w:pPr>
        <w:pStyle w:val="Compact"/>
        <w:numPr>
          <w:ilvl w:val="0"/>
          <w:numId w:val="1011"/>
        </w:numPr>
      </w:pPr>
      <w:r>
        <w:t xml:space="preserve">Nombre.</w:t>
      </w:r>
    </w:p>
    <w:p>
      <w:pPr>
        <w:pStyle w:val="Compact"/>
        <w:numPr>
          <w:ilvl w:val="0"/>
          <w:numId w:val="1011"/>
        </w:numPr>
      </w:pPr>
      <w:r>
        <w:t xml:space="preserve">Apellidos.</w:t>
      </w:r>
    </w:p>
    <w:p>
      <w:pPr>
        <w:pStyle w:val="Compact"/>
        <w:numPr>
          <w:ilvl w:val="0"/>
          <w:numId w:val="1011"/>
        </w:numPr>
      </w:pPr>
      <w:r>
        <w:t xml:space="preserve">Correo electrónico.</w:t>
      </w:r>
    </w:p>
    <w:p>
      <w:pPr>
        <w:pStyle w:val="Compact"/>
        <w:numPr>
          <w:ilvl w:val="0"/>
          <w:numId w:val="1011"/>
        </w:numPr>
      </w:pPr>
      <w:r>
        <w:t xml:space="preserve">Teléfono.</w:t>
      </w:r>
    </w:p>
    <w:p>
      <w:pPr>
        <w:pStyle w:val="Compact"/>
        <w:numPr>
          <w:ilvl w:val="0"/>
          <w:numId w:val="1011"/>
        </w:numPr>
      </w:pPr>
      <w:r>
        <w:t xml:space="preserve">Estado.</w:t>
      </w:r>
    </w:p>
    <w:p>
      <w:pPr>
        <w:pStyle w:val="Compact"/>
        <w:numPr>
          <w:ilvl w:val="0"/>
          <w:numId w:val="1011"/>
        </w:numPr>
      </w:pPr>
      <w:r>
        <w:t xml:space="preserve">Etiquetas.</w:t>
      </w:r>
    </w:p>
    <w:p>
      <w:pPr>
        <w:pStyle w:val="Compact"/>
        <w:numPr>
          <w:ilvl w:val="0"/>
          <w:numId w:val="1011"/>
        </w:numPr>
      </w:pPr>
      <w:r>
        <w:t xml:space="preserve">Categoría.</w:t>
      </w:r>
    </w:p>
    <w:p>
      <w:pPr>
        <w:pStyle w:val="Compact"/>
        <w:numPr>
          <w:ilvl w:val="0"/>
          <w:numId w:val="1011"/>
        </w:numPr>
      </w:pPr>
      <w:r>
        <w:t xml:space="preserve">Fecha de creación.</w:t>
      </w:r>
    </w:p>
    <w:p>
      <w:pPr>
        <w:pStyle w:val="FirstParagraph"/>
      </w:pPr>
      <w:r>
        <w:t xml:space="preserve">La búsqueda deberá soportar paginación y ordenamiento.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uc007-gestionar-etiquetas"/>
    <w:p>
      <w:pPr>
        <w:pStyle w:val="Heading1"/>
      </w:pPr>
      <w:r>
        <w:t xml:space="preserve">UC007 — Gestionar Etiquetas</w:t>
      </w:r>
    </w:p>
    <w:p>
      <w:pPr>
        <w:pStyle w:val="FirstParagraph"/>
      </w:pPr>
      <w:r>
        <w:t xml:space="preserve">Permite:</w:t>
      </w:r>
    </w:p>
    <w:p>
      <w:pPr>
        <w:pStyle w:val="Compact"/>
        <w:numPr>
          <w:ilvl w:val="0"/>
          <w:numId w:val="1012"/>
        </w:numPr>
      </w:pPr>
      <w:r>
        <w:t xml:space="preserve">Añadir etiquetas.</w:t>
      </w:r>
    </w:p>
    <w:p>
      <w:pPr>
        <w:pStyle w:val="Compact"/>
        <w:numPr>
          <w:ilvl w:val="0"/>
          <w:numId w:val="1012"/>
        </w:numPr>
      </w:pPr>
      <w:r>
        <w:t xml:space="preserve">Eliminar etiquetas.</w:t>
      </w:r>
    </w:p>
    <w:p>
      <w:pPr>
        <w:pStyle w:val="Compact"/>
        <w:numPr>
          <w:ilvl w:val="0"/>
          <w:numId w:val="1012"/>
        </w:numPr>
      </w:pPr>
      <w:r>
        <w:t xml:space="preserve">Consultar etiquetas.</w:t>
      </w:r>
    </w:p>
    <w:p>
      <w:pPr>
        <w:pStyle w:val="FirstParagraph"/>
      </w:pPr>
      <w:r>
        <w:t xml:space="preserve">Las etiquetas facilitarán la segmentación para Marketing y CRM.</w:t>
      </w:r>
    </w:p>
    <w:p>
      <w:r>
        <w:pict>
          <v:rect style="width:0;height:1.5pt" o:hralign="center" o:hrstd="t" o:hr="t"/>
        </w:pict>
      </w:r>
    </w:p>
    <w:bookmarkEnd w:id="43"/>
    <w:bookmarkStart w:id="44" w:name="uc008-actualizar-preferencias"/>
    <w:p>
      <w:pPr>
        <w:pStyle w:val="Heading1"/>
      </w:pPr>
      <w:r>
        <w:t xml:space="preserve">UC008 — Actualizar Preferencias</w:t>
      </w:r>
    </w:p>
    <w:p>
      <w:pPr>
        <w:pStyle w:val="FirstParagraph"/>
      </w:pPr>
      <w:r>
        <w:t xml:space="preserve">Incluye:</w:t>
      </w:r>
    </w:p>
    <w:p>
      <w:pPr>
        <w:pStyle w:val="Compact"/>
        <w:numPr>
          <w:ilvl w:val="0"/>
          <w:numId w:val="1013"/>
        </w:numPr>
      </w:pPr>
      <w:r>
        <w:t xml:space="preserve">Idioma.</w:t>
      </w:r>
    </w:p>
    <w:p>
      <w:pPr>
        <w:pStyle w:val="Compact"/>
        <w:numPr>
          <w:ilvl w:val="0"/>
          <w:numId w:val="1013"/>
        </w:numPr>
      </w:pPr>
      <w:r>
        <w:t xml:space="preserve">Canal de comunicación.</w:t>
      </w:r>
    </w:p>
    <w:p>
      <w:pPr>
        <w:pStyle w:val="Compact"/>
        <w:numPr>
          <w:ilvl w:val="0"/>
          <w:numId w:val="1013"/>
        </w:numPr>
      </w:pPr>
      <w:r>
        <w:t xml:space="preserve">Consentimientos.</w:t>
      </w:r>
    </w:p>
    <w:p>
      <w:pPr>
        <w:pStyle w:val="Compact"/>
        <w:numPr>
          <w:ilvl w:val="0"/>
          <w:numId w:val="1013"/>
        </w:numPr>
      </w:pPr>
      <w:r>
        <w:t xml:space="preserve">Recordatorios.</w:t>
      </w:r>
    </w:p>
    <w:p>
      <w:pPr>
        <w:pStyle w:val="FirstParagraph"/>
      </w:pPr>
      <w:r>
        <w:t xml:space="preserve">Cada modificación quedará registrada.</w:t>
      </w:r>
    </w:p>
    <w:p>
      <w:r>
        <w:pict>
          <v:rect style="width:0;height:1.5pt" o:hralign="center" o:hrstd="t" o:hr="t"/>
        </w:pict>
      </w:r>
    </w:p>
    <w:bookmarkEnd w:id="44"/>
    <w:bookmarkStart w:id="45" w:name="uc009-gestionar-programa-de-fidelización"/>
    <w:p>
      <w:pPr>
        <w:pStyle w:val="Heading1"/>
      </w:pPr>
      <w:r>
        <w:t xml:space="preserve">UC009 — Gestionar Programa de Fidelización</w:t>
      </w:r>
    </w:p>
    <w:p>
      <w:pPr>
        <w:pStyle w:val="FirstParagraph"/>
      </w:pPr>
      <w:r>
        <w:t xml:space="preserve">Permite:</w:t>
      </w:r>
    </w:p>
    <w:p>
      <w:pPr>
        <w:pStyle w:val="Compact"/>
        <w:numPr>
          <w:ilvl w:val="0"/>
          <w:numId w:val="1014"/>
        </w:numPr>
      </w:pPr>
      <w:r>
        <w:t xml:space="preserve">Consultar nivel.</w:t>
      </w:r>
    </w:p>
    <w:p>
      <w:pPr>
        <w:pStyle w:val="Compact"/>
        <w:numPr>
          <w:ilvl w:val="0"/>
          <w:numId w:val="1014"/>
        </w:numPr>
      </w:pPr>
      <w:r>
        <w:t xml:space="preserve">Consultar puntos.</w:t>
      </w:r>
    </w:p>
    <w:p>
      <w:pPr>
        <w:pStyle w:val="Compact"/>
        <w:numPr>
          <w:ilvl w:val="0"/>
          <w:numId w:val="1014"/>
        </w:numPr>
      </w:pPr>
      <w:r>
        <w:t xml:space="preserve">Actualizar beneficios.</w:t>
      </w:r>
    </w:p>
    <w:p>
      <w:pPr>
        <w:pStyle w:val="FirstParagraph"/>
      </w:pPr>
      <w:r>
        <w:t xml:space="preserve">Las reglas de acumulación pertenecerán al dominio Loyalty.</w:t>
      </w:r>
    </w:p>
    <w:p>
      <w:r>
        <w:pict>
          <v:rect style="width:0;height:1.5pt" o:hralign="center" o:hrstd="t" o:hr="t"/>
        </w:pict>
      </w:r>
    </w:p>
    <w:bookmarkEnd w:id="45"/>
    <w:bookmarkStart w:id="46" w:name="uc010-exportar-clientes"/>
    <w:p>
      <w:pPr>
        <w:pStyle w:val="Heading1"/>
      </w:pPr>
      <w:r>
        <w:t xml:space="preserve">UC010 — Exportar Clientes</w:t>
      </w:r>
    </w:p>
    <w:p>
      <w:pPr>
        <w:pStyle w:val="FirstParagraph"/>
      </w:pPr>
      <w:r>
        <w:t xml:space="preserve">Permite exportar clientes según filtros.</w:t>
      </w:r>
    </w:p>
    <w:p>
      <w:pPr>
        <w:pStyle w:val="BodyText"/>
      </w:pPr>
      <w:r>
        <w:t xml:space="preserve">Requisitos:</w:t>
      </w:r>
    </w:p>
    <w:p>
      <w:pPr>
        <w:pStyle w:val="Compact"/>
        <w:numPr>
          <w:ilvl w:val="0"/>
          <w:numId w:val="1015"/>
        </w:numPr>
      </w:pPr>
      <w:r>
        <w:t xml:space="preserve">Permiso</w:t>
      </w:r>
      <w:r>
        <w:t xml:space="preserve"> </w:t>
      </w:r>
      <w:r>
        <w:rPr>
          <w:rStyle w:val="VerbatimChar"/>
        </w:rPr>
        <w:t xml:space="preserve">customers.export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Registro de auditoría.</w:t>
      </w:r>
    </w:p>
    <w:p>
      <w:pPr>
        <w:pStyle w:val="Compact"/>
        <w:numPr>
          <w:ilvl w:val="0"/>
          <w:numId w:val="1015"/>
        </w:numPr>
      </w:pPr>
      <w:r>
        <w:t xml:space="preserve">Formato configurable (CSV, XLSX en fases futuras).</w:t>
      </w:r>
    </w:p>
    <w:p>
      <w:r>
        <w:pict>
          <v:rect style="width:0;height:1.5pt" o:hralign="center" o:hrstd="t" o:hr="t"/>
        </w:pict>
      </w:r>
    </w:p>
    <w:bookmarkEnd w:id="46"/>
    <w:bookmarkStart w:id="47" w:name="uc011-importar-clientes"/>
    <w:p>
      <w:pPr>
        <w:pStyle w:val="Heading1"/>
      </w:pPr>
      <w:r>
        <w:t xml:space="preserve">UC011 — Importar Clientes</w:t>
      </w:r>
    </w:p>
    <w:p>
      <w:pPr>
        <w:pStyle w:val="FirstParagraph"/>
      </w:pPr>
      <w:r>
        <w:t xml:space="preserve">Permite importar clientes desde archivos externos.</w:t>
      </w:r>
    </w:p>
    <w:p>
      <w:pPr>
        <w:pStyle w:val="BodyText"/>
      </w:pPr>
      <w:r>
        <w:t xml:space="preserve">El proceso deberá:</w:t>
      </w:r>
    </w:p>
    <w:p>
      <w:pPr>
        <w:pStyle w:val="Compact"/>
        <w:numPr>
          <w:ilvl w:val="0"/>
          <w:numId w:val="1016"/>
        </w:numPr>
      </w:pPr>
      <w:r>
        <w:t xml:space="preserve">Validar estructura.</w:t>
      </w:r>
    </w:p>
    <w:p>
      <w:pPr>
        <w:pStyle w:val="Compact"/>
        <w:numPr>
          <w:ilvl w:val="0"/>
          <w:numId w:val="1016"/>
        </w:numPr>
      </w:pPr>
      <w:r>
        <w:t xml:space="preserve">Detectar duplicados.</w:t>
      </w:r>
    </w:p>
    <w:p>
      <w:pPr>
        <w:pStyle w:val="Compact"/>
        <w:numPr>
          <w:ilvl w:val="0"/>
          <w:numId w:val="1016"/>
        </w:numPr>
      </w:pPr>
      <w:r>
        <w:t xml:space="preserve">Mostrar resultados.</w:t>
      </w:r>
    </w:p>
    <w:p>
      <w:pPr>
        <w:pStyle w:val="Compact"/>
        <w:numPr>
          <w:ilvl w:val="0"/>
          <w:numId w:val="1016"/>
        </w:numPr>
      </w:pPr>
      <w:r>
        <w:t xml:space="preserve">Registrar incidencias.</w:t>
      </w:r>
    </w:p>
    <w:p>
      <w:pPr>
        <w:pStyle w:val="Compact"/>
        <w:numPr>
          <w:ilvl w:val="0"/>
          <w:numId w:val="1016"/>
        </w:numPr>
      </w:pPr>
      <w:r>
        <w:t xml:space="preserve">Confirmar la importación.</w:t>
      </w:r>
    </w:p>
    <w:p>
      <w:r>
        <w:pict>
          <v:rect style="width:0;height:1.5pt" o:hralign="center" o:hrstd="t" o:hr="t"/>
        </w:pict>
      </w:r>
    </w:p>
    <w:bookmarkEnd w:id="47"/>
    <w:bookmarkStart w:id="48" w:name="uc012-fusionar-clientes"/>
    <w:p>
      <w:pPr>
        <w:pStyle w:val="Heading1"/>
      </w:pPr>
      <w:r>
        <w:t xml:space="preserve">UC012 — Fusionar Clientes</w:t>
      </w:r>
    </w:p>
    <w:p>
      <w:pPr>
        <w:pStyle w:val="FirstParagraph"/>
      </w:pPr>
      <w:r>
        <w:t xml:space="preserve">Permite unificar registros duplicados.</w:t>
      </w:r>
    </w:p>
    <w:p>
      <w:pPr>
        <w:pStyle w:val="BodyText"/>
      </w:pPr>
      <w:r>
        <w:t xml:space="preserve">Requisitos:</w:t>
      </w:r>
    </w:p>
    <w:p>
      <w:pPr>
        <w:pStyle w:val="Compact"/>
        <w:numPr>
          <w:ilvl w:val="0"/>
          <w:numId w:val="1017"/>
        </w:numPr>
      </w:pPr>
      <w:r>
        <w:t xml:space="preserve">Permiso específico.</w:t>
      </w:r>
    </w:p>
    <w:p>
      <w:pPr>
        <w:pStyle w:val="Compact"/>
        <w:numPr>
          <w:ilvl w:val="0"/>
          <w:numId w:val="1017"/>
        </w:numPr>
      </w:pPr>
      <w:r>
        <w:t xml:space="preserve">Validación manual.</w:t>
      </w:r>
    </w:p>
    <w:p>
      <w:pPr>
        <w:pStyle w:val="Compact"/>
        <w:numPr>
          <w:ilvl w:val="0"/>
          <w:numId w:val="1017"/>
        </w:numPr>
      </w:pPr>
      <w:r>
        <w:t xml:space="preserve">Registro completo de auditoría.</w:t>
      </w:r>
    </w:p>
    <w:p>
      <w:r>
        <w:pict>
          <v:rect style="width:0;height:1.5pt" o:hralign="center" o:hrstd="t" o:hr="t"/>
        </w:pict>
      </w:r>
    </w:p>
    <w:bookmarkEnd w:id="48"/>
    <w:bookmarkStart w:id="49" w:name="eventos-del-dominio"/>
    <w:p>
      <w:pPr>
        <w:pStyle w:val="Heading1"/>
      </w:pPr>
      <w:r>
        <w:t xml:space="preserve">Eventos del Dominio</w:t>
      </w:r>
    </w:p>
    <w:p>
      <w:pPr>
        <w:pStyle w:val="FirstParagraph"/>
      </w:pPr>
      <w:r>
        <w:t xml:space="preserve">El dominio emitirá eventos como:</w:t>
      </w:r>
    </w:p>
    <w:p>
      <w:pPr>
        <w:pStyle w:val="Compact"/>
        <w:numPr>
          <w:ilvl w:val="0"/>
          <w:numId w:val="1018"/>
        </w:numPr>
      </w:pPr>
      <w:r>
        <w:t xml:space="preserve">CustomerCreated</w:t>
      </w:r>
    </w:p>
    <w:p>
      <w:pPr>
        <w:pStyle w:val="Compact"/>
        <w:numPr>
          <w:ilvl w:val="0"/>
          <w:numId w:val="1018"/>
        </w:numPr>
      </w:pPr>
      <w:r>
        <w:t xml:space="preserve">CustomerUpdated</w:t>
      </w:r>
    </w:p>
    <w:p>
      <w:pPr>
        <w:pStyle w:val="Compact"/>
        <w:numPr>
          <w:ilvl w:val="0"/>
          <w:numId w:val="1018"/>
        </w:numPr>
      </w:pPr>
      <w:r>
        <w:t xml:space="preserve">CustomerArchived</w:t>
      </w:r>
    </w:p>
    <w:p>
      <w:pPr>
        <w:pStyle w:val="Compact"/>
        <w:numPr>
          <w:ilvl w:val="0"/>
          <w:numId w:val="1018"/>
        </w:numPr>
      </w:pPr>
      <w:r>
        <w:t xml:space="preserve">CustomerRestored</w:t>
      </w:r>
    </w:p>
    <w:p>
      <w:pPr>
        <w:pStyle w:val="Compact"/>
        <w:numPr>
          <w:ilvl w:val="0"/>
          <w:numId w:val="1018"/>
        </w:numPr>
      </w:pPr>
      <w:r>
        <w:t xml:space="preserve">CustomerTagAdded</w:t>
      </w:r>
    </w:p>
    <w:p>
      <w:pPr>
        <w:pStyle w:val="Compact"/>
        <w:numPr>
          <w:ilvl w:val="0"/>
          <w:numId w:val="1018"/>
        </w:numPr>
      </w:pPr>
      <w:r>
        <w:t xml:space="preserve">CustomerTagRemoved</w:t>
      </w:r>
    </w:p>
    <w:p>
      <w:pPr>
        <w:pStyle w:val="Compact"/>
        <w:numPr>
          <w:ilvl w:val="0"/>
          <w:numId w:val="1018"/>
        </w:numPr>
      </w:pPr>
      <w:r>
        <w:t xml:space="preserve">CustomerPreferencesUpdated</w:t>
      </w:r>
    </w:p>
    <w:p>
      <w:pPr>
        <w:pStyle w:val="FirstParagraph"/>
      </w:pPr>
      <w:r>
        <w:t xml:space="preserve">Estos eventos podrán ser consumidos por Marketing, CRM, Analítica e IA.</w:t>
      </w:r>
    </w:p>
    <w:p>
      <w:r>
        <w:pict>
          <v:rect style="width:0;height:1.5pt" o:hralign="center" o:hrstd="t" o:hr="t"/>
        </w:pict>
      </w:r>
    </w:p>
    <w:bookmarkEnd w:id="49"/>
    <w:bookmarkStart w:id="55" w:name="integraciones"/>
    <w:p>
      <w:pPr>
        <w:pStyle w:val="Heading1"/>
      </w:pPr>
      <w:r>
        <w:t xml:space="preserve">Integraciones</w:t>
      </w:r>
    </w:p>
    <w:bookmarkStart w:id="50" w:name="crm"/>
    <w:p>
      <w:pPr>
        <w:pStyle w:val="Heading2"/>
      </w:pPr>
      <w:r>
        <w:t xml:space="preserve">CRM</w:t>
      </w:r>
    </w:p>
    <w:p>
      <w:pPr>
        <w:pStyle w:val="FirstParagraph"/>
      </w:pPr>
      <w:r>
        <w:t xml:space="preserve">Consulta y segmenta clientes.</w:t>
      </w:r>
    </w:p>
    <w:bookmarkEnd w:id="50"/>
    <w:bookmarkStart w:id="51" w:name="agenda"/>
    <w:p>
      <w:pPr>
        <w:pStyle w:val="Heading2"/>
      </w:pPr>
      <w:r>
        <w:t xml:space="preserve">Agenda</w:t>
      </w:r>
    </w:p>
    <w:p>
      <w:pPr>
        <w:pStyle w:val="FirstParagraph"/>
      </w:pPr>
      <w:r>
        <w:t xml:space="preserve">Asocia reservas a clientes.</w:t>
      </w:r>
    </w:p>
    <w:bookmarkEnd w:id="51"/>
    <w:bookmarkStart w:id="52" w:name="e-commerce"/>
    <w:p>
      <w:pPr>
        <w:pStyle w:val="Heading2"/>
      </w:pPr>
      <w:r>
        <w:t xml:space="preserve">E-commerce</w:t>
      </w:r>
    </w:p>
    <w:p>
      <w:pPr>
        <w:pStyle w:val="FirstParagraph"/>
      </w:pPr>
      <w:r>
        <w:t xml:space="preserve">Relaciona pedidos con clientes.</w:t>
      </w:r>
    </w:p>
    <w:bookmarkEnd w:id="52"/>
    <w:bookmarkStart w:id="53" w:name="loyalty"/>
    <w:p>
      <w:pPr>
        <w:pStyle w:val="Heading2"/>
      </w:pPr>
      <w:r>
        <w:t xml:space="preserve">Loyalty</w:t>
      </w:r>
    </w:p>
    <w:p>
      <w:pPr>
        <w:pStyle w:val="FirstParagraph"/>
      </w:pPr>
      <w:r>
        <w:t xml:space="preserve">Gestiona puntos y beneficios.</w:t>
      </w:r>
    </w:p>
    <w:bookmarkEnd w:id="53"/>
    <w:bookmarkStart w:id="54" w:name="ia"/>
    <w:p>
      <w:pPr>
        <w:pStyle w:val="Heading2"/>
      </w:pPr>
      <w:r>
        <w:t xml:space="preserve">IA</w:t>
      </w:r>
    </w:p>
    <w:p>
      <w:pPr>
        <w:pStyle w:val="FirstParagraph"/>
      </w:pPr>
      <w:r>
        <w:t xml:space="preserve">Genera recomendaciones y segmentaciones.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seguridad"/>
    <w:p>
      <w:pPr>
        <w:pStyle w:val="Heading1"/>
      </w:pPr>
      <w:r>
        <w:t xml:space="preserve">Seguridad</w:t>
      </w:r>
    </w:p>
    <w:p>
      <w:pPr>
        <w:pStyle w:val="FirstParagraph"/>
      </w:pPr>
      <w:r>
        <w:t xml:space="preserve">Todos los casos de uso deberán:</w:t>
      </w:r>
    </w:p>
    <w:p>
      <w:pPr>
        <w:pStyle w:val="Compact"/>
        <w:numPr>
          <w:ilvl w:val="0"/>
          <w:numId w:val="1019"/>
        </w:numPr>
      </w:pPr>
      <w:r>
        <w:t xml:space="preserve">Validar autenticación.</w:t>
      </w:r>
    </w:p>
    <w:p>
      <w:pPr>
        <w:pStyle w:val="Compact"/>
        <w:numPr>
          <w:ilvl w:val="0"/>
          <w:numId w:val="1019"/>
        </w:numPr>
      </w:pPr>
      <w:r>
        <w:t xml:space="preserve">Validar permisos.</w:t>
      </w:r>
    </w:p>
    <w:p>
      <w:pPr>
        <w:pStyle w:val="Compact"/>
        <w:numPr>
          <w:ilvl w:val="0"/>
          <w:numId w:val="1019"/>
        </w:numPr>
      </w:pPr>
      <w:r>
        <w:t xml:space="preserve">Validar organización.</w:t>
      </w:r>
    </w:p>
    <w:p>
      <w:pPr>
        <w:pStyle w:val="Compact"/>
        <w:numPr>
          <w:ilvl w:val="0"/>
          <w:numId w:val="1019"/>
        </w:numPr>
      </w:pPr>
      <w:r>
        <w:t xml:space="preserve">Registrar operaciones críticas.</w:t>
      </w:r>
    </w:p>
    <w:p>
      <w:r>
        <w:pict>
          <v:rect style="width:0;height:1.5pt" o:hralign="center" o:hrstd="t" o:hr="t"/>
        </w:pict>
      </w:r>
    </w:p>
    <w:bookmarkEnd w:id="56"/>
    <w:bookmarkStart w:id="57" w:name="auditoría"/>
    <w:p>
      <w:pPr>
        <w:pStyle w:val="Heading1"/>
      </w:pPr>
      <w:r>
        <w:t xml:space="preserve">Auditoría</w:t>
      </w:r>
    </w:p>
    <w:p>
      <w:pPr>
        <w:pStyle w:val="FirstParagraph"/>
      </w:pPr>
      <w:r>
        <w:t xml:space="preserve">Cada caso de uso registrará:</w:t>
      </w:r>
    </w:p>
    <w:p>
      <w:pPr>
        <w:pStyle w:val="Compact"/>
        <w:numPr>
          <w:ilvl w:val="0"/>
          <w:numId w:val="1020"/>
        </w:numPr>
      </w:pPr>
      <w:r>
        <w:t xml:space="preserve">Usuario ejecutor.</w:t>
      </w:r>
    </w:p>
    <w:p>
      <w:pPr>
        <w:pStyle w:val="Compact"/>
        <w:numPr>
          <w:ilvl w:val="0"/>
          <w:numId w:val="1020"/>
        </w:numPr>
      </w:pPr>
      <w:r>
        <w:t xml:space="preserve">Fecha y hora.</w:t>
      </w:r>
    </w:p>
    <w:p>
      <w:pPr>
        <w:pStyle w:val="Compact"/>
        <w:numPr>
          <w:ilvl w:val="0"/>
          <w:numId w:val="1020"/>
        </w:numPr>
      </w:pPr>
      <w:r>
        <w:t xml:space="preserve">Organización.</w:t>
      </w:r>
    </w:p>
    <w:p>
      <w:pPr>
        <w:pStyle w:val="Compact"/>
        <w:numPr>
          <w:ilvl w:val="0"/>
          <w:numId w:val="1020"/>
        </w:numPr>
      </w:pPr>
      <w:r>
        <w:t xml:space="preserve">Operación.</w:t>
      </w:r>
    </w:p>
    <w:p>
      <w:pPr>
        <w:pStyle w:val="Compact"/>
        <w:numPr>
          <w:ilvl w:val="0"/>
          <w:numId w:val="1020"/>
        </w:numPr>
      </w:pPr>
      <w:r>
        <w:t xml:space="preserve">Resultado.</w:t>
      </w:r>
    </w:p>
    <w:p>
      <w:pPr>
        <w:pStyle w:val="Compact"/>
        <w:numPr>
          <w:ilvl w:val="0"/>
          <w:numId w:val="1020"/>
        </w:numPr>
      </w:pPr>
      <w:r>
        <w:t xml:space="preserve">Identificador de correlación.</w:t>
      </w:r>
    </w:p>
    <w:p>
      <w:r>
        <w:pict>
          <v:rect style="width:0;height:1.5pt" o:hralign="center" o:hrstd="t" o:hr="t"/>
        </w:pict>
      </w:r>
    </w:p>
    <w:bookmarkEnd w:id="57"/>
    <w:bookmarkStart w:id="58" w:name="riesgos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21"/>
        </w:numPr>
      </w:pPr>
      <w:r>
        <w:t xml:space="preserve">Creación de duplicados.</w:t>
      </w:r>
    </w:p>
    <w:p>
      <w:pPr>
        <w:pStyle w:val="Compact"/>
        <w:numPr>
          <w:ilvl w:val="0"/>
          <w:numId w:val="1021"/>
        </w:numPr>
      </w:pPr>
      <w:r>
        <w:t xml:space="preserve">Actualizaciones concurrentes.</w:t>
      </w:r>
    </w:p>
    <w:p>
      <w:pPr>
        <w:pStyle w:val="Compact"/>
        <w:numPr>
          <w:ilvl w:val="0"/>
          <w:numId w:val="1021"/>
        </w:numPr>
      </w:pPr>
      <w:r>
        <w:t xml:space="preserve">Segmentaciones inconsistentes.</w:t>
      </w:r>
    </w:p>
    <w:p>
      <w:pPr>
        <w:pStyle w:val="Compact"/>
        <w:numPr>
          <w:ilvl w:val="0"/>
          <w:numId w:val="1021"/>
        </w:numPr>
      </w:pPr>
      <w:r>
        <w:t xml:space="preserve">Exportación no autorizada de datos.</w:t>
      </w:r>
    </w:p>
    <w:p>
      <w:pPr>
        <w:pStyle w:val="FirstParagraph"/>
      </w:pPr>
      <w:r>
        <w:t xml:space="preserve">Estos riesgos deberán mitigarse mediante validaciones y revisiones de seguridad.</w:t>
      </w:r>
    </w:p>
    <w:p>
      <w:r>
        <w:pict>
          <v:rect style="width:0;height:1.5pt" o:hralign="center" o:hrstd="t" o:hr="t"/>
        </w:pict>
      </w:r>
    </w:p>
    <w:bookmarkEnd w:id="58"/>
    <w:bookmarkStart w:id="59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22"/>
        </w:numPr>
      </w:pPr>
      <w:r>
        <w:t xml:space="preserve">Casos de uso definidos.</w:t>
      </w:r>
    </w:p>
    <w:p>
      <w:pPr>
        <w:pStyle w:val="Compact"/>
        <w:numPr>
          <w:ilvl w:val="0"/>
          <w:numId w:val="1022"/>
        </w:numPr>
      </w:pPr>
      <w:r>
        <w:t xml:space="preserve">Permisos identificados.</w:t>
      </w:r>
    </w:p>
    <w:p>
      <w:pPr>
        <w:pStyle w:val="Compact"/>
        <w:numPr>
          <w:ilvl w:val="0"/>
          <w:numId w:val="1022"/>
        </w:numPr>
      </w:pPr>
      <w:r>
        <w:t xml:space="preserve">Eventos documentados.</w:t>
      </w:r>
    </w:p>
    <w:p>
      <w:pPr>
        <w:pStyle w:val="Compact"/>
        <w:numPr>
          <w:ilvl w:val="0"/>
          <w:numId w:val="1022"/>
        </w:numPr>
      </w:pPr>
      <w:r>
        <w:t xml:space="preserve">Integraciones descritas.</w:t>
      </w:r>
    </w:p>
    <w:p>
      <w:pPr>
        <w:pStyle w:val="Compact"/>
        <w:numPr>
          <w:ilvl w:val="0"/>
          <w:numId w:val="1022"/>
        </w:numPr>
      </w:pPr>
      <w:r>
        <w:t xml:space="preserve">Auditoría incluida.</w:t>
      </w:r>
    </w:p>
    <w:p>
      <w:pPr>
        <w:pStyle w:val="Compact"/>
        <w:numPr>
          <w:ilvl w:val="0"/>
          <w:numId w:val="1022"/>
        </w:numPr>
      </w:pPr>
      <w:r>
        <w:t xml:space="preserve">Riesgos analizados.</w:t>
      </w:r>
    </w:p>
    <w:p>
      <w:r>
        <w:pict>
          <v:rect style="width:0;height:1.5pt" o:hralign="center" o:hrstd="t" o:hr="t"/>
        </w:pict>
      </w:r>
    </w:p>
    <w:bookmarkEnd w:id="59"/>
    <w:bookmarkStart w:id="60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23"/>
        </w:numPr>
      </w:pPr>
      <w:r>
        <w:t xml:space="preserve">CUSTOMER001_DOMAIN_ARCHITECTURE.md</w:t>
      </w:r>
    </w:p>
    <w:p>
      <w:pPr>
        <w:pStyle w:val="Compact"/>
        <w:numPr>
          <w:ilvl w:val="0"/>
          <w:numId w:val="1023"/>
        </w:numPr>
      </w:pPr>
      <w:r>
        <w:t xml:space="preserve">CUSTOMER002_CUSTOMER_DATA_MODEL.md</w:t>
      </w:r>
    </w:p>
    <w:p>
      <w:pPr>
        <w:pStyle w:val="Compact"/>
        <w:numPr>
          <w:ilvl w:val="0"/>
          <w:numId w:val="1023"/>
        </w:numPr>
      </w:pPr>
      <w:r>
        <w:t xml:space="preserve">SEC002_AUTHORIZATION_MODEL.md</w:t>
      </w:r>
    </w:p>
    <w:p>
      <w:pPr>
        <w:pStyle w:val="Compact"/>
        <w:numPr>
          <w:ilvl w:val="0"/>
          <w:numId w:val="1023"/>
        </w:numPr>
      </w:pPr>
      <w:r>
        <w:t xml:space="preserve">CORE002_ERROR_HANDLING_AND_RESULT_PATTERN.md</w:t>
      </w:r>
    </w:p>
    <w:p>
      <w:pPr>
        <w:pStyle w:val="Compact"/>
        <w:numPr>
          <w:ilvl w:val="0"/>
          <w:numId w:val="1023"/>
        </w:numPr>
      </w:pPr>
      <w:r>
        <w:t xml:space="preserve">CORE003_LOGGING_AND_OBSERVABILITY_ARCHITECTURE.md</w:t>
      </w:r>
    </w:p>
    <w:p>
      <w:r>
        <w:pict>
          <v:rect style="width:0;height:1.5pt" o:hralign="center" o:hrstd="t" o:hr="t"/>
        </w:pict>
      </w:r>
    </w:p>
    <w:bookmarkEnd w:id="60"/>
    <w:bookmarkStart w:id="61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especificación oficial de casos de uso del dominio Customers.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2026-06-30T17:03:05Z</dcterms:created>
  <dcterms:modified xsi:type="dcterms:W3CDTF">2026-06-30T17:03:05Z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