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a93409fc111ac4321cb92f8d2929ccd5edba5ca"/>
    <w:p>
      <w:pPr>
        <w:pStyle w:val="Heading1"/>
      </w:pPr>
      <w:r>
        <w:t xml:space="preserve">CORE004 — CONFIGURATION &amp; ENVIRONMENT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para la configuración de la plataforma, la gestión de variables de entorno y la administración de configuraciones por ambiente.</w:t>
      </w:r>
    </w:p>
    <w:p>
      <w:pPr>
        <w:pStyle w:val="BodyText"/>
      </w:pPr>
      <w:r>
        <w:t xml:space="preserve">Toda configuración del sistema deberá centralizarse en este módulo.</w:t>
      </w:r>
    </w:p>
    <w:p>
      <w:pPr>
        <w:pStyle w:val="BodyText"/>
      </w:pPr>
      <w:r>
        <w:t xml:space="preserve">Ningún componente, servicio o módulo podrá acceder directamente a variables de entorno sin pasar por la capa de configuración.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La arquitectura deberá permitir:</w:t>
      </w:r>
    </w:p>
    <w:p>
      <w:pPr>
        <w:pStyle w:val="Compact"/>
        <w:numPr>
          <w:ilvl w:val="0"/>
          <w:numId w:val="1001"/>
        </w:numPr>
      </w:pPr>
      <w:r>
        <w:t xml:space="preserve">Configuración centralizada.</w:t>
      </w:r>
    </w:p>
    <w:p>
      <w:pPr>
        <w:pStyle w:val="Compact"/>
        <w:numPr>
          <w:ilvl w:val="0"/>
          <w:numId w:val="1001"/>
        </w:numPr>
      </w:pPr>
      <w:r>
        <w:t xml:space="preserve">Configuración tipada.</w:t>
      </w:r>
    </w:p>
    <w:p>
      <w:pPr>
        <w:pStyle w:val="Compact"/>
        <w:numPr>
          <w:ilvl w:val="0"/>
          <w:numId w:val="1001"/>
        </w:numPr>
      </w:pPr>
      <w:r>
        <w:t xml:space="preserve">Configuración validada.</w:t>
      </w:r>
    </w:p>
    <w:p>
      <w:pPr>
        <w:pStyle w:val="Compact"/>
        <w:numPr>
          <w:ilvl w:val="0"/>
          <w:numId w:val="1001"/>
        </w:numPr>
      </w:pPr>
      <w:r>
        <w:t xml:space="preserve">Configuración por ambiente.</w:t>
      </w:r>
    </w:p>
    <w:p>
      <w:pPr>
        <w:pStyle w:val="Compact"/>
        <w:numPr>
          <w:ilvl w:val="0"/>
          <w:numId w:val="1001"/>
        </w:numPr>
      </w:pPr>
      <w:r>
        <w:t xml:space="preserve">Configuración reutilizable.</w:t>
      </w:r>
    </w:p>
    <w:p>
      <w:pPr>
        <w:pStyle w:val="Compact"/>
        <w:numPr>
          <w:ilvl w:val="0"/>
          <w:numId w:val="1001"/>
        </w:numPr>
      </w:pPr>
      <w:r>
        <w:t xml:space="preserve">Configuración desacoplada.</w:t>
      </w:r>
    </w:p>
    <w:p>
      <w:pPr>
        <w:pStyle w:val="Compact"/>
        <w:numPr>
          <w:ilvl w:val="0"/>
          <w:numId w:val="1001"/>
        </w:numPr>
      </w:pPr>
      <w:r>
        <w:t xml:space="preserve">Gestión segura de secretos.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 configuración deberá cumplir:</w:t>
      </w:r>
    </w:p>
    <w:p>
      <w:pPr>
        <w:pStyle w:val="Compact"/>
        <w:numPr>
          <w:ilvl w:val="0"/>
          <w:numId w:val="1002"/>
        </w:numPr>
      </w:pPr>
      <w:r>
        <w:t xml:space="preserve">Una única fuente de verdad.</w:t>
      </w:r>
    </w:p>
    <w:p>
      <w:pPr>
        <w:pStyle w:val="Compact"/>
        <w:numPr>
          <w:ilvl w:val="0"/>
          <w:numId w:val="1002"/>
        </w:numPr>
      </w:pPr>
      <w:r>
        <w:t xml:space="preserve">Tipado estricto.</w:t>
      </w:r>
    </w:p>
    <w:p>
      <w:pPr>
        <w:pStyle w:val="Compact"/>
        <w:numPr>
          <w:ilvl w:val="0"/>
          <w:numId w:val="1002"/>
        </w:numPr>
      </w:pPr>
      <w:r>
        <w:t xml:space="preserve">Validación al inicio de la aplicación.</w:t>
      </w:r>
    </w:p>
    <w:p>
      <w:pPr>
        <w:pStyle w:val="Compact"/>
        <w:numPr>
          <w:ilvl w:val="0"/>
          <w:numId w:val="1002"/>
        </w:numPr>
      </w:pPr>
      <w:r>
        <w:t xml:space="preserve">Inmutabilidad durante la ejecución.</w:t>
      </w:r>
    </w:p>
    <w:p>
      <w:pPr>
        <w:pStyle w:val="Compact"/>
        <w:numPr>
          <w:ilvl w:val="0"/>
          <w:numId w:val="1002"/>
        </w:numPr>
      </w:pPr>
      <w:r>
        <w:t xml:space="preserve">Separación entre configuración pública y privada.</w:t>
      </w:r>
    </w:p>
    <w:p>
      <w:pPr>
        <w:pStyle w:val="Compact"/>
        <w:numPr>
          <w:ilvl w:val="0"/>
          <w:numId w:val="1002"/>
        </w:numPr>
      </w:pPr>
      <w:r>
        <w:t xml:space="preserve">Independencia de proveedores.</w:t>
      </w:r>
    </w:p>
    <w:p>
      <w:r>
        <w:pict>
          <v:rect style="width:0;height:1.5pt" o:hralign="center" o:hrstd="t" o:hr="t"/>
        </w:pict>
      </w:r>
    </w:p>
    <w:bookmarkEnd w:id="24"/>
    <w:bookmarkStart w:id="25" w:name="ambientes"/>
    <w:p>
      <w:pPr>
        <w:pStyle w:val="Heading1"/>
      </w:pPr>
      <w:r>
        <w:t xml:space="preserve">Ambientes</w:t>
      </w:r>
    </w:p>
    <w:p>
      <w:pPr>
        <w:pStyle w:val="FirstParagraph"/>
      </w:pPr>
      <w:r>
        <w:t xml:space="preserve">La plataforma soportará como mínimo: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br/>
      </w:r>
      <w:r>
        <w:rPr>
          <w:rStyle w:val="VerbatimChar"/>
        </w:rPr>
        <w:t xml:space="preserve">Testing</w:t>
      </w:r>
      <w:r>
        <w:br/>
      </w:r>
      <w:r>
        <w:br/>
      </w:r>
      <w:r>
        <w:rPr>
          <w:rStyle w:val="VerbatimChar"/>
        </w:rPr>
        <w:t xml:space="preserve">Staging</w:t>
      </w:r>
      <w:r>
        <w:br/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Cada ambiente podrá tener valores específicos sin modificar el código fuente.</w:t>
      </w:r>
    </w:p>
    <w:p>
      <w:r>
        <w:pict>
          <v:rect style="width:0;height:1.5pt" o:hralign="center" o:hrstd="t" o:hr="t"/>
        </w:pict>
      </w:r>
    </w:p>
    <w:bookmarkEnd w:id="25"/>
    <w:bookmarkStart w:id="28" w:name="clasificación-de-configuración"/>
    <w:p>
      <w:pPr>
        <w:pStyle w:val="Heading1"/>
      </w:pPr>
      <w:r>
        <w:t xml:space="preserve">Clasificación de Configuración</w:t>
      </w:r>
    </w:p>
    <w:bookmarkStart w:id="26" w:name="configuración-pública"/>
    <w:p>
      <w:pPr>
        <w:pStyle w:val="Heading2"/>
      </w:pPr>
      <w:r>
        <w:t xml:space="preserve">Configuración Pública</w:t>
      </w:r>
    </w:p>
    <w:p>
      <w:pPr>
        <w:pStyle w:val="FirstParagraph"/>
      </w:pPr>
      <w:r>
        <w:t xml:space="preserve">Disponible para el frontend.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Nombre de la aplicación.</w:t>
      </w:r>
    </w:p>
    <w:p>
      <w:pPr>
        <w:pStyle w:val="Compact"/>
        <w:numPr>
          <w:ilvl w:val="0"/>
          <w:numId w:val="1003"/>
        </w:numPr>
      </w:pPr>
      <w:r>
        <w:t xml:space="preserve">URL pública.</w:t>
      </w:r>
    </w:p>
    <w:p>
      <w:pPr>
        <w:pStyle w:val="Compact"/>
        <w:numPr>
          <w:ilvl w:val="0"/>
          <w:numId w:val="1003"/>
        </w:numPr>
      </w:pPr>
      <w:r>
        <w:t xml:space="preserve">Región.</w:t>
      </w:r>
    </w:p>
    <w:p>
      <w:pPr>
        <w:pStyle w:val="Compact"/>
        <w:numPr>
          <w:ilvl w:val="0"/>
          <w:numId w:val="1003"/>
        </w:numPr>
      </w:pPr>
      <w:r>
        <w:t xml:space="preserve">Idioma por defecto.</w:t>
      </w:r>
    </w:p>
    <w:p>
      <w:pPr>
        <w:pStyle w:val="Compact"/>
        <w:numPr>
          <w:ilvl w:val="0"/>
          <w:numId w:val="1003"/>
        </w:numPr>
      </w:pPr>
      <w:r>
        <w:t xml:space="preserve">Configuración de Analytics.</w:t>
      </w:r>
    </w:p>
    <w:p>
      <w:pPr>
        <w:pStyle w:val="Compact"/>
        <w:numPr>
          <w:ilvl w:val="0"/>
          <w:numId w:val="1003"/>
        </w:numPr>
      </w:pPr>
      <w:r>
        <w:t xml:space="preserve">Identificadores públicos de Firebase.</w:t>
      </w:r>
    </w:p>
    <w:p>
      <w:pPr>
        <w:pStyle w:val="FirstParagraph"/>
      </w:pPr>
      <w:r>
        <w:t xml:space="preserve">Nunca contendrá información sensible.</w:t>
      </w:r>
    </w:p>
    <w:p>
      <w:r>
        <w:pict>
          <v:rect style="width:0;height:1.5pt" o:hralign="center" o:hrstd="t" o:hr="t"/>
        </w:pict>
      </w:r>
    </w:p>
    <w:bookmarkEnd w:id="26"/>
    <w:bookmarkStart w:id="27" w:name="configuración-privada"/>
    <w:p>
      <w:pPr>
        <w:pStyle w:val="Heading2"/>
      </w:pPr>
      <w:r>
        <w:t xml:space="preserve">Configuración Privada</w:t>
      </w:r>
    </w:p>
    <w:p>
      <w:pPr>
        <w:pStyle w:val="FirstParagraph"/>
      </w:pPr>
      <w:r>
        <w:t xml:space="preserve">Disponible únicamente en servicios backend.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Claves API.</w:t>
      </w:r>
    </w:p>
    <w:p>
      <w:pPr>
        <w:pStyle w:val="Compact"/>
        <w:numPr>
          <w:ilvl w:val="0"/>
          <w:numId w:val="1004"/>
        </w:numPr>
      </w:pPr>
      <w:r>
        <w:t xml:space="preserve">Secretos de integración.</w:t>
      </w:r>
    </w:p>
    <w:p>
      <w:pPr>
        <w:pStyle w:val="Compact"/>
        <w:numPr>
          <w:ilvl w:val="0"/>
          <w:numId w:val="1004"/>
        </w:numPr>
      </w:pPr>
      <w:r>
        <w:t xml:space="preserve">Tokens de servicio.</w:t>
      </w:r>
    </w:p>
    <w:p>
      <w:pPr>
        <w:pStyle w:val="Compact"/>
        <w:numPr>
          <w:ilvl w:val="0"/>
          <w:numId w:val="1004"/>
        </w:numPr>
      </w:pPr>
      <w:r>
        <w:t xml:space="preserve">Credenciales administrativas.</w:t>
      </w:r>
    </w:p>
    <w:p>
      <w:pPr>
        <w:pStyle w:val="FirstParagraph"/>
      </w:pPr>
      <w:r>
        <w:t xml:space="preserve">Su acceso estará restringido a Cloud Functions u otros entornos seguros.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organización"/>
    <w:p>
      <w:pPr>
        <w:pStyle w:val="Heading1"/>
      </w:pPr>
      <w:r>
        <w:t xml:space="preserve">Organización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└── core/</w:t>
      </w:r>
      <w:r>
        <w:br/>
      </w:r>
      <w:r>
        <w:rPr>
          <w:rStyle w:val="VerbatimChar"/>
        </w:rPr>
        <w:t xml:space="preserve">    └── config/</w:t>
      </w:r>
      <w:r>
        <w:br/>
      </w:r>
      <w:r>
        <w:rPr>
          <w:rStyle w:val="VerbatimChar"/>
        </w:rPr>
        <w:t xml:space="preserve">        ├── app</w:t>
      </w:r>
      <w:r>
        <w:br/>
      </w:r>
      <w:r>
        <w:rPr>
          <w:rStyle w:val="VerbatimChar"/>
        </w:rPr>
        <w:t xml:space="preserve">        ├── auth</w:t>
      </w:r>
      <w:r>
        <w:br/>
      </w:r>
      <w:r>
        <w:rPr>
          <w:rStyle w:val="VerbatimChar"/>
        </w:rPr>
        <w:t xml:space="preserve">        ├── firebase</w:t>
      </w:r>
      <w:r>
        <w:br/>
      </w:r>
      <w:r>
        <w:rPr>
          <w:rStyle w:val="VerbatimChar"/>
        </w:rPr>
        <w:t xml:space="preserve">        ├── analytics</w:t>
      </w:r>
      <w:r>
        <w:br/>
      </w:r>
      <w:r>
        <w:rPr>
          <w:rStyle w:val="VerbatimChar"/>
        </w:rPr>
        <w:t xml:space="preserve">        ├── ai</w:t>
      </w:r>
      <w:r>
        <w:br/>
      </w:r>
      <w:r>
        <w:rPr>
          <w:rStyle w:val="VerbatimChar"/>
        </w:rPr>
        <w:t xml:space="preserve">        ├── storage</w:t>
      </w:r>
      <w:r>
        <w:br/>
      </w:r>
      <w:r>
        <w:rPr>
          <w:rStyle w:val="VerbatimChar"/>
        </w:rPr>
        <w:t xml:space="preserve">        ├── payments</w:t>
      </w:r>
      <w:r>
        <w:br/>
      </w:r>
      <w:r>
        <w:rPr>
          <w:rStyle w:val="VerbatimChar"/>
        </w:rPr>
        <w:t xml:space="preserve">        ├── email</w:t>
      </w:r>
      <w:r>
        <w:br/>
      </w:r>
      <w:r>
        <w:rPr>
          <w:rStyle w:val="VerbatimChar"/>
        </w:rPr>
        <w:t xml:space="preserve">        ├── environment</w:t>
      </w:r>
      <w:r>
        <w:br/>
      </w:r>
      <w:r>
        <w:rPr>
          <w:rStyle w:val="VerbatimChar"/>
        </w:rPr>
        <w:t xml:space="preserve">        └── validation</w:t>
      </w:r>
    </w:p>
    <w:p>
      <w:pPr>
        <w:pStyle w:val="FirstParagraph"/>
      </w:pPr>
      <w:r>
        <w:t xml:space="preserve">Cada área gestionará exclusivamente su propia configuración.</w:t>
      </w:r>
    </w:p>
    <w:p>
      <w:r>
        <w:pict>
          <v:rect style="width:0;height:1.5pt" o:hralign="center" o:hrstd="t" o:hr="t"/>
        </w:pict>
      </w:r>
    </w:p>
    <w:bookmarkEnd w:id="29"/>
    <w:bookmarkStart w:id="30" w:name="variables-de-entorno"/>
    <w:p>
      <w:pPr>
        <w:pStyle w:val="Heading1"/>
      </w:pPr>
      <w:r>
        <w:t xml:space="preserve">Variables de Entorno</w:t>
      </w:r>
    </w:p>
    <w:p>
      <w:pPr>
        <w:pStyle w:val="FirstParagraph"/>
      </w:pPr>
      <w:r>
        <w:t xml:space="preserve">Las variables deberán cumplir las siguientes reglas:</w:t>
      </w:r>
    </w:p>
    <w:p>
      <w:pPr>
        <w:pStyle w:val="Compact"/>
        <w:numPr>
          <w:ilvl w:val="0"/>
          <w:numId w:val="1005"/>
        </w:numPr>
      </w:pPr>
      <w:r>
        <w:t xml:space="preserve">Nombre consistente.</w:t>
      </w:r>
    </w:p>
    <w:p>
      <w:pPr>
        <w:pStyle w:val="Compact"/>
        <w:numPr>
          <w:ilvl w:val="0"/>
          <w:numId w:val="1005"/>
        </w:numPr>
      </w:pPr>
      <w:r>
        <w:t xml:space="preserve">Tipado.</w:t>
      </w:r>
    </w:p>
    <w:p>
      <w:pPr>
        <w:pStyle w:val="Compact"/>
        <w:numPr>
          <w:ilvl w:val="0"/>
          <w:numId w:val="1005"/>
        </w:numPr>
      </w:pPr>
      <w:r>
        <w:t xml:space="preserve">Documentación.</w:t>
      </w:r>
    </w:p>
    <w:p>
      <w:pPr>
        <w:pStyle w:val="Compact"/>
        <w:numPr>
          <w:ilvl w:val="0"/>
          <w:numId w:val="1005"/>
        </w:numPr>
      </w:pPr>
      <w:r>
        <w:t xml:space="preserve">Valor por defecto cuando sea apropiado.</w:t>
      </w:r>
    </w:p>
    <w:p>
      <w:pPr>
        <w:pStyle w:val="Compact"/>
        <w:numPr>
          <w:ilvl w:val="0"/>
          <w:numId w:val="1005"/>
        </w:numPr>
      </w:pPr>
      <w:r>
        <w:t xml:space="preserve">Validación obligatoria al iniciar la aplicación.</w:t>
      </w:r>
    </w:p>
    <w:p>
      <w:pPr>
        <w:pStyle w:val="FirstParagraph"/>
      </w:pPr>
      <w:r>
        <w:t xml:space="preserve">Si una variable crítica no está disponible, la aplicación deberá fallar durante el arranque y no durante la ejecución.</w:t>
      </w:r>
    </w:p>
    <w:p>
      <w:r>
        <w:pict>
          <v:rect style="width:0;height:1.5pt" o:hralign="center" o:hrstd="t" o:hr="t"/>
        </w:pict>
      </w:r>
    </w:p>
    <w:bookmarkEnd w:id="30"/>
    <w:bookmarkStart w:id="31" w:name="feature-flags"/>
    <w:p>
      <w:pPr>
        <w:pStyle w:val="Heading1"/>
      </w:pPr>
      <w:r>
        <w:t xml:space="preserve">Feature Flags</w:t>
      </w:r>
    </w:p>
    <w:p>
      <w:pPr>
        <w:pStyle w:val="FirstParagraph"/>
      </w:pPr>
      <w:r>
        <w:t xml:space="preserve">La plataforma soportará activación y desactivación de funcionalidades mediante indicadores de características.</w:t>
      </w:r>
    </w:p>
    <w:p>
      <w:pPr>
        <w:pStyle w:val="BodyText"/>
      </w:pPr>
      <w:r>
        <w:t xml:space="preserve">Casos de uso:</w:t>
      </w:r>
    </w:p>
    <w:p>
      <w:pPr>
        <w:pStyle w:val="Compact"/>
        <w:numPr>
          <w:ilvl w:val="0"/>
          <w:numId w:val="1006"/>
        </w:numPr>
      </w:pPr>
      <w:r>
        <w:t xml:space="preserve">Publicar funcionalidades de forma gradual.</w:t>
      </w:r>
    </w:p>
    <w:p>
      <w:pPr>
        <w:pStyle w:val="Compact"/>
        <w:numPr>
          <w:ilvl w:val="0"/>
          <w:numId w:val="1006"/>
        </w:numPr>
      </w:pPr>
      <w:r>
        <w:t xml:space="preserve">Pruebas A/B.</w:t>
      </w:r>
    </w:p>
    <w:p>
      <w:pPr>
        <w:pStyle w:val="Compact"/>
        <w:numPr>
          <w:ilvl w:val="0"/>
          <w:numId w:val="1006"/>
        </w:numPr>
      </w:pPr>
      <w:r>
        <w:t xml:space="preserve">Desactivar módulos temporalmente.</w:t>
      </w:r>
    </w:p>
    <w:p>
      <w:pPr>
        <w:pStyle w:val="Compact"/>
        <w:numPr>
          <w:ilvl w:val="0"/>
          <w:numId w:val="1006"/>
        </w:numPr>
      </w:pPr>
      <w:r>
        <w:t xml:space="preserve">Habilitar funciones experimentales.</w:t>
      </w:r>
    </w:p>
    <w:p>
      <w:pPr>
        <w:pStyle w:val="FirstParagraph"/>
      </w:pPr>
      <w:r>
        <w:t xml:space="preserve">Las decisiones de negocio no deberán depender exclusivamente de estos indicadores.</w:t>
      </w:r>
    </w:p>
    <w:p>
      <w:r>
        <w:pict>
          <v:rect style="width:0;height:1.5pt" o:hralign="center" o:hrstd="t" o:hr="t"/>
        </w:pict>
      </w:r>
    </w:p>
    <w:bookmarkEnd w:id="31"/>
    <w:bookmarkStart w:id="32" w:name="configuración-de-firebase"/>
    <w:p>
      <w:pPr>
        <w:pStyle w:val="Heading1"/>
      </w:pPr>
      <w:r>
        <w:t xml:space="preserve">Configuración de Firebase</w:t>
      </w:r>
    </w:p>
    <w:p>
      <w:pPr>
        <w:pStyle w:val="FirstParagraph"/>
      </w:pPr>
      <w:r>
        <w:t xml:space="preserve">Toda la configuración de Firebase estará encapsulada.</w:t>
      </w:r>
    </w:p>
    <w:p>
      <w:pPr>
        <w:pStyle w:val="BodyText"/>
      </w:pPr>
      <w:r>
        <w:t xml:space="preserve">Los módulos consumidores no conocerán detalles de inicialización ni credenciales.</w:t>
      </w:r>
    </w:p>
    <w:p>
      <w:pPr>
        <w:pStyle w:val="BodyText"/>
      </w:pPr>
      <w:r>
        <w:t xml:space="preserve">Esto facilita cambios futuros y mejora la mantenibilidad.</w:t>
      </w:r>
    </w:p>
    <w:p>
      <w:r>
        <w:pict>
          <v:rect style="width:0;height:1.5pt" o:hralign="center" o:hrstd="t" o:hr="t"/>
        </w:pict>
      </w:r>
    </w:p>
    <w:bookmarkEnd w:id="32"/>
    <w:bookmarkStart w:id="33" w:name="configuración-de-ia"/>
    <w:p>
      <w:pPr>
        <w:pStyle w:val="Heading1"/>
      </w:pPr>
      <w:r>
        <w:t xml:space="preserve">Configuración de IA</w:t>
      </w:r>
    </w:p>
    <w:p>
      <w:pPr>
        <w:pStyle w:val="FirstParagraph"/>
      </w:pPr>
      <w:r>
        <w:t xml:space="preserve">Cada proveedor de Inteligencia Artificial será configurable de manera independiente.</w:t>
      </w:r>
    </w:p>
    <w:p>
      <w:pPr>
        <w:pStyle w:val="BodyText"/>
      </w:pPr>
      <w:r>
        <w:t xml:space="preserve">La arquitectura permitirá incorporar nuevos proveedores sin modificar los módulos consumidores.</w:t>
      </w:r>
    </w:p>
    <w:p>
      <w:r>
        <w:pict>
          <v:rect style="width:0;height:1.5pt" o:hralign="center" o:hrstd="t" o:hr="t"/>
        </w:pict>
      </w:r>
    </w:p>
    <w:bookmarkEnd w:id="33"/>
    <w:bookmarkStart w:id="34" w:name="configuración-de-pagos"/>
    <w:p>
      <w:pPr>
        <w:pStyle w:val="Heading1"/>
      </w:pPr>
      <w:r>
        <w:t xml:space="preserve">Configuración de Pagos</w:t>
      </w:r>
    </w:p>
    <w:p>
      <w:pPr>
        <w:pStyle w:val="FirstParagraph"/>
      </w:pPr>
      <w:r>
        <w:t xml:space="preserve">Las pasarelas de pago deberán registrarse mediante adaptadores configurables.</w:t>
      </w:r>
    </w:p>
    <w:p>
      <w:pPr>
        <w:pStyle w:val="BodyText"/>
      </w:pPr>
      <w:r>
        <w:t xml:space="preserve">La lógica del negocio nunca dependerá directamente de un proveedor específico.</w:t>
      </w:r>
    </w:p>
    <w:p>
      <w:r>
        <w:pict>
          <v:rect style="width:0;height:1.5pt" o:hralign="center" o:hrstd="t" o:hr="t"/>
        </w:pict>
      </w:r>
    </w:p>
    <w:bookmarkEnd w:id="34"/>
    <w:bookmarkStart w:id="35" w:name="validación"/>
    <w:p>
      <w:pPr>
        <w:pStyle w:val="Heading1"/>
      </w:pPr>
      <w:r>
        <w:t xml:space="preserve">Validación</w:t>
      </w:r>
    </w:p>
    <w:p>
      <w:pPr>
        <w:pStyle w:val="FirstParagraph"/>
      </w:pPr>
      <w:r>
        <w:t xml:space="preserve">Toda configuración deberá validarse durante el inicio de la aplicación.</w:t>
      </w:r>
    </w:p>
    <w:p>
      <w:pPr>
        <w:pStyle w:val="BodyText"/>
      </w:pPr>
      <w:r>
        <w:t xml:space="preserve">La validación comprobará:</w:t>
      </w:r>
    </w:p>
    <w:p>
      <w:pPr>
        <w:pStyle w:val="Compact"/>
        <w:numPr>
          <w:ilvl w:val="0"/>
          <w:numId w:val="1007"/>
        </w:numPr>
      </w:pPr>
      <w:r>
        <w:t xml:space="preserve">Variables obligatorias.</w:t>
      </w:r>
    </w:p>
    <w:p>
      <w:pPr>
        <w:pStyle w:val="Compact"/>
        <w:numPr>
          <w:ilvl w:val="0"/>
          <w:numId w:val="1007"/>
        </w:numPr>
      </w:pPr>
      <w:r>
        <w:t xml:space="preserve">Tipos.</w:t>
      </w:r>
    </w:p>
    <w:p>
      <w:pPr>
        <w:pStyle w:val="Compact"/>
        <w:numPr>
          <w:ilvl w:val="0"/>
          <w:numId w:val="1007"/>
        </w:numPr>
      </w:pPr>
      <w:r>
        <w:t xml:space="preserve">Formatos.</w:t>
      </w:r>
    </w:p>
    <w:p>
      <w:pPr>
        <w:pStyle w:val="Compact"/>
        <w:numPr>
          <w:ilvl w:val="0"/>
          <w:numId w:val="1007"/>
        </w:numPr>
      </w:pPr>
      <w:r>
        <w:t xml:space="preserve">Dependencias entre configuraciones.</w:t>
      </w:r>
    </w:p>
    <w:p>
      <w:pPr>
        <w:pStyle w:val="FirstParagraph"/>
      </w:pPr>
      <w:r>
        <w:t xml:space="preserve">No se permitirá continuar con configuraciones incompletas o inválidas.</w:t>
      </w:r>
    </w:p>
    <w:p>
      <w:r>
        <w:pict>
          <v:rect style="width:0;height:1.5pt" o:hralign="center" o:hrstd="t" o:hr="t"/>
        </w:pict>
      </w:r>
    </w:p>
    <w:bookmarkEnd w:id="35"/>
    <w:bookmarkStart w:id="36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Las siguientes reglas son obligatorias:</w:t>
      </w:r>
    </w:p>
    <w:p>
      <w:pPr>
        <w:pStyle w:val="Compact"/>
        <w:numPr>
          <w:ilvl w:val="0"/>
          <w:numId w:val="1008"/>
        </w:numPr>
      </w:pPr>
      <w:r>
        <w:t xml:space="preserve">Nunca almacenar secretos en el repositorio.</w:t>
      </w:r>
    </w:p>
    <w:p>
      <w:pPr>
        <w:pStyle w:val="Compact"/>
        <w:numPr>
          <w:ilvl w:val="0"/>
          <w:numId w:val="1008"/>
        </w:numPr>
      </w:pPr>
      <w:r>
        <w:t xml:space="preserve">Nunca exponer secretos al frontend.</w:t>
      </w:r>
    </w:p>
    <w:p>
      <w:pPr>
        <w:pStyle w:val="Compact"/>
        <w:numPr>
          <w:ilvl w:val="0"/>
          <w:numId w:val="1008"/>
        </w:numPr>
      </w:pPr>
      <w:r>
        <w:t xml:space="preserve">Rotación periódica de credenciales.</w:t>
      </w:r>
    </w:p>
    <w:p>
      <w:pPr>
        <w:pStyle w:val="Compact"/>
        <w:numPr>
          <w:ilvl w:val="0"/>
          <w:numId w:val="1008"/>
        </w:numPr>
      </w:pPr>
      <w:r>
        <w:t xml:space="preserve">Acceso mínimo necesario.</w:t>
      </w:r>
    </w:p>
    <w:p>
      <w:pPr>
        <w:pStyle w:val="Compact"/>
        <w:numPr>
          <w:ilvl w:val="0"/>
          <w:numId w:val="1008"/>
        </w:numPr>
      </w:pPr>
      <w:r>
        <w:t xml:space="preserve">Registro de cambios en configuraciones críticas.</w:t>
      </w:r>
    </w:p>
    <w:p>
      <w:r>
        <w:pict>
          <v:rect style="width:0;height:1.5pt" o:hralign="center" o:hrstd="t" o:hr="t"/>
        </w:pict>
      </w:r>
    </w:p>
    <w:bookmarkEnd w:id="36"/>
    <w:bookmarkStart w:id="37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09"/>
        </w:numPr>
      </w:pPr>
      <w:r>
        <w:t xml:space="preserve">Variables inconsistentes entre ambientes.</w:t>
      </w:r>
    </w:p>
    <w:p>
      <w:pPr>
        <w:pStyle w:val="Compact"/>
        <w:numPr>
          <w:ilvl w:val="0"/>
          <w:numId w:val="1009"/>
        </w:numPr>
      </w:pPr>
      <w:r>
        <w:t xml:space="preserve">Configuración duplicada.</w:t>
      </w:r>
    </w:p>
    <w:p>
      <w:pPr>
        <w:pStyle w:val="Compact"/>
        <w:numPr>
          <w:ilvl w:val="0"/>
          <w:numId w:val="1009"/>
        </w:numPr>
      </w:pPr>
      <w:r>
        <w:t xml:space="preserve">Exposición accidental de secretos.</w:t>
      </w:r>
    </w:p>
    <w:p>
      <w:pPr>
        <w:pStyle w:val="Compact"/>
        <w:numPr>
          <w:ilvl w:val="0"/>
          <w:numId w:val="1009"/>
        </w:numPr>
      </w:pPr>
      <w:r>
        <w:t xml:space="preserve">Dependencia directa de proveedores.</w:t>
      </w:r>
    </w:p>
    <w:p>
      <w:pPr>
        <w:pStyle w:val="FirstParagraph"/>
      </w:pPr>
      <w:r>
        <w:t xml:space="preserve">Todas estas situaciones deberán prevenirse mediante la arquitectura descrita.</w:t>
      </w:r>
    </w:p>
    <w:p>
      <w:r>
        <w:pict>
          <v:rect style="width:0;height:1.5pt" o:hralign="center" o:hrstd="t" o:hr="t"/>
        </w:pict>
      </w:r>
    </w:p>
    <w:bookmarkEnd w:id="37"/>
    <w:bookmarkStart w:id="38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0"/>
        </w:numPr>
      </w:pPr>
      <w:r>
        <w:t xml:space="preserve">Configuración centralizada.</w:t>
      </w:r>
    </w:p>
    <w:p>
      <w:pPr>
        <w:pStyle w:val="Compact"/>
        <w:numPr>
          <w:ilvl w:val="0"/>
          <w:numId w:val="1010"/>
        </w:numPr>
      </w:pPr>
      <w:r>
        <w:t xml:space="preserve">Ambientes definidos.</w:t>
      </w:r>
    </w:p>
    <w:p>
      <w:pPr>
        <w:pStyle w:val="Compact"/>
        <w:numPr>
          <w:ilvl w:val="0"/>
          <w:numId w:val="1010"/>
        </w:numPr>
      </w:pPr>
      <w:r>
        <w:t xml:space="preserve">Configuración pública y privada separadas.</w:t>
      </w:r>
    </w:p>
    <w:p>
      <w:pPr>
        <w:pStyle w:val="Compact"/>
        <w:numPr>
          <w:ilvl w:val="0"/>
          <w:numId w:val="1010"/>
        </w:numPr>
      </w:pPr>
      <w:r>
        <w:t xml:space="preserve">Variables tipadas.</w:t>
      </w:r>
    </w:p>
    <w:p>
      <w:pPr>
        <w:pStyle w:val="Compact"/>
        <w:numPr>
          <w:ilvl w:val="0"/>
          <w:numId w:val="1010"/>
        </w:numPr>
      </w:pPr>
      <w:r>
        <w:t xml:space="preserve">Validación de configuración.</w:t>
      </w:r>
    </w:p>
    <w:p>
      <w:pPr>
        <w:pStyle w:val="Compact"/>
        <w:numPr>
          <w:ilvl w:val="0"/>
          <w:numId w:val="1010"/>
        </w:numPr>
      </w:pPr>
      <w:r>
        <w:t xml:space="preserve">Estrategia de Feature Flags.</w:t>
      </w:r>
    </w:p>
    <w:p>
      <w:pPr>
        <w:pStyle w:val="Compact"/>
        <w:numPr>
          <w:ilvl w:val="0"/>
          <w:numId w:val="1010"/>
        </w:numPr>
      </w:pPr>
      <w:r>
        <w:t xml:space="preserve">Seguridad documentada.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1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11"/>
        </w:numPr>
      </w:pPr>
      <w:r>
        <w:t xml:space="preserve">CORE002_ERROR_HANDLING_AND_RESULT_PATTERN.md</w:t>
      </w:r>
    </w:p>
    <w:p>
      <w:pPr>
        <w:pStyle w:val="Compact"/>
        <w:numPr>
          <w:ilvl w:val="0"/>
          <w:numId w:val="1011"/>
        </w:numPr>
      </w:pPr>
      <w:r>
        <w:t xml:space="preserve">CORE003_LOGGING_AND_OBSERVABILITY_ARCHITECTURE.md</w:t>
      </w:r>
    </w:p>
    <w:p>
      <w:pPr>
        <w:pStyle w:val="Compact"/>
        <w:numPr>
          <w:ilvl w:val="0"/>
          <w:numId w:val="1011"/>
        </w:numPr>
      </w:pPr>
      <w:r>
        <w:t xml:space="preserve">A001_SYSTEM_ARCHITECTURE.md</w:t>
      </w:r>
    </w:p>
    <w:p>
      <w:r>
        <w:pict>
          <v:rect style="width:0;height:1.5pt" o:hralign="center" o:hrstd="t" o:hr="t"/>
        </w:pict>
      </w:r>
    </w:p>
    <w:bookmarkEnd w:id="39"/>
    <w:bookmarkStart w:id="40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configuración y gestión de ambientes.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2026-06-30T16:55:05Z</dcterms:created>
  <dcterms:modified xsi:type="dcterms:W3CDTF">2026-06-30T16:55:05Z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