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specialist008-implementation-playbook"/>
    <w:p>
      <w:pPr>
        <w:pStyle w:val="Heading1"/>
      </w:pPr>
      <w:r>
        <w:t xml:space="preserve">SPECIALIST008 — IMPLEMENTATION PLAYBOOK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para Implementación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el plan oficial de implementación del dominio</w:t>
      </w:r>
      <w:r>
        <w:t xml:space="preserve"> </w:t>
      </w:r>
      <w:r>
        <w:rPr>
          <w:b/>
          <w:bCs/>
        </w:rPr>
        <w:t xml:space="preserve">Specialists</w:t>
      </w:r>
      <w:r>
        <w:t xml:space="preserve">, estableciendo el orden de desarrollo, dependencias, estándares de calidad y criterios de aceptación.</w:t>
      </w:r>
    </w:p>
    <w:p>
      <w:pPr>
        <w:pStyle w:val="BodyText"/>
      </w:pPr>
      <w:r>
        <w:t xml:space="preserve">Este documento convierte la arquitectura aprobada en un plan ejecutable para Antigravity, evitando decisiones arquitectónicas durante la implementación.</w:t>
      </w:r>
    </w:p>
    <w:p>
      <w:r>
        <w:pict>
          <v:rect style="width:0;height:1.5pt" o:hralign="center" o:hrstd="t" o:hr="t"/>
        </w:pict>
      </w:r>
    </w:p>
    <w:bookmarkEnd w:id="22"/>
    <w:bookmarkStart w:id="26" w:name="dependencias"/>
    <w:p>
      <w:pPr>
        <w:pStyle w:val="Heading1"/>
      </w:pPr>
      <w:r>
        <w:t xml:space="preserve">Dependencias</w:t>
      </w:r>
    </w:p>
    <w:bookmarkStart w:id="23" w:name="arquitectura-base"/>
    <w:p>
      <w:pPr>
        <w:pStyle w:val="Heading2"/>
      </w:pPr>
      <w:r>
        <w:t xml:space="preserve">Arquitectura Base</w:t>
      </w:r>
    </w:p>
    <w:p>
      <w:pPr>
        <w:pStyle w:val="Compact"/>
        <w:numPr>
          <w:ilvl w:val="0"/>
          <w:numId w:val="1001"/>
        </w:numPr>
      </w:pPr>
      <w:r>
        <w:t xml:space="preserve">CORE001–CORE004</w:t>
      </w:r>
    </w:p>
    <w:p>
      <w:pPr>
        <w:pStyle w:val="Compact"/>
        <w:numPr>
          <w:ilvl w:val="0"/>
          <w:numId w:val="1001"/>
        </w:numPr>
      </w:pPr>
      <w:r>
        <w:t xml:space="preserve">UI001–UI005</w:t>
      </w:r>
    </w:p>
    <w:p>
      <w:pPr>
        <w:pStyle w:val="Compact"/>
        <w:numPr>
          <w:ilvl w:val="0"/>
          <w:numId w:val="1001"/>
        </w:numPr>
      </w:pPr>
      <w:r>
        <w:t xml:space="preserve">FB001–FB004</w:t>
      </w:r>
    </w:p>
    <w:p>
      <w:pPr>
        <w:pStyle w:val="Compact"/>
        <w:numPr>
          <w:ilvl w:val="0"/>
          <w:numId w:val="1001"/>
        </w:numPr>
      </w:pPr>
      <w:r>
        <w:t xml:space="preserve">A009–A012</w:t>
      </w:r>
    </w:p>
    <w:bookmarkEnd w:id="23"/>
    <w:bookmarkStart w:id="24" w:name="seguridad"/>
    <w:p>
      <w:pPr>
        <w:pStyle w:val="Heading2"/>
      </w:pPr>
      <w:r>
        <w:t xml:space="preserve">Seguridad</w:t>
      </w:r>
    </w:p>
    <w:p>
      <w:pPr>
        <w:pStyle w:val="Compact"/>
        <w:numPr>
          <w:ilvl w:val="0"/>
          <w:numId w:val="1002"/>
        </w:numPr>
      </w:pPr>
      <w:r>
        <w:t xml:space="preserve">AUTH001–AUTH004</w:t>
      </w:r>
    </w:p>
    <w:p>
      <w:pPr>
        <w:pStyle w:val="Compact"/>
        <w:numPr>
          <w:ilvl w:val="0"/>
          <w:numId w:val="1002"/>
        </w:numPr>
      </w:pPr>
      <w:r>
        <w:t xml:space="preserve">SEC001–SEC002</w:t>
      </w:r>
    </w:p>
    <w:bookmarkEnd w:id="24"/>
    <w:bookmarkStart w:id="25" w:name="dominios"/>
    <w:p>
      <w:pPr>
        <w:pStyle w:val="Heading2"/>
      </w:pPr>
      <w:r>
        <w:t xml:space="preserve">Dominios</w:t>
      </w:r>
    </w:p>
    <w:p>
      <w:pPr>
        <w:pStyle w:val="Compact"/>
        <w:numPr>
          <w:ilvl w:val="0"/>
          <w:numId w:val="1003"/>
        </w:numPr>
      </w:pPr>
      <w:r>
        <w:t xml:space="preserve">CUSTOMER001–CUSTOMER008</w:t>
      </w:r>
    </w:p>
    <w:p>
      <w:pPr>
        <w:pStyle w:val="Compact"/>
        <w:numPr>
          <w:ilvl w:val="0"/>
          <w:numId w:val="1003"/>
        </w:numPr>
      </w:pPr>
      <w:r>
        <w:t xml:space="preserve">TREATMENT001–TREATMENT008</w:t>
      </w:r>
    </w:p>
    <w:p>
      <w:pPr>
        <w:pStyle w:val="Compact"/>
        <w:numPr>
          <w:ilvl w:val="0"/>
          <w:numId w:val="1003"/>
        </w:numPr>
      </w:pPr>
      <w:r>
        <w:t xml:space="preserve">APP001–APP008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objetivos"/>
    <w:p>
      <w:pPr>
        <w:pStyle w:val="Heading1"/>
      </w:pPr>
      <w:r>
        <w:t xml:space="preserve">Objetivos</w:t>
      </w:r>
    </w:p>
    <w:p>
      <w:pPr>
        <w:pStyle w:val="FirstParagraph"/>
      </w:pPr>
      <w:r>
        <w:t xml:space="preserve">La implementación deberá:</w:t>
      </w:r>
    </w:p>
    <w:p>
      <w:pPr>
        <w:pStyle w:val="Compact"/>
        <w:numPr>
          <w:ilvl w:val="0"/>
          <w:numId w:val="1004"/>
        </w:numPr>
      </w:pPr>
      <w:r>
        <w:t xml:space="preserve">Respetar Clean Architecture.</w:t>
      </w:r>
    </w:p>
    <w:p>
      <w:pPr>
        <w:pStyle w:val="Compact"/>
        <w:numPr>
          <w:ilvl w:val="0"/>
          <w:numId w:val="1004"/>
        </w:numPr>
      </w:pPr>
      <w:r>
        <w:t xml:space="preserve">Aplicar SOLID.</w:t>
      </w:r>
    </w:p>
    <w:p>
      <w:pPr>
        <w:pStyle w:val="Compact"/>
        <w:numPr>
          <w:ilvl w:val="0"/>
          <w:numId w:val="1004"/>
        </w:numPr>
      </w:pPr>
      <w:r>
        <w:t xml:space="preserve">Mantener desacoplamiento entre dominios.</w:t>
      </w:r>
    </w:p>
    <w:p>
      <w:pPr>
        <w:pStyle w:val="Compact"/>
        <w:numPr>
          <w:ilvl w:val="0"/>
          <w:numId w:val="1004"/>
        </w:numPr>
      </w:pPr>
      <w:r>
        <w:t xml:space="preserve">Integrarse mediante eventos.</w:t>
      </w:r>
    </w:p>
    <w:p>
      <w:pPr>
        <w:pStyle w:val="Compact"/>
        <w:numPr>
          <w:ilvl w:val="0"/>
          <w:numId w:val="1004"/>
        </w:numPr>
      </w:pPr>
      <w:r>
        <w:t xml:space="preserve">Utilizar únicamente contratos públicos.</w:t>
      </w:r>
    </w:p>
    <w:p>
      <w:r>
        <w:pict>
          <v:rect style="width:0;height:1.5pt" o:hralign="center" o:hrstd="t" o:hr="t"/>
        </w:pict>
      </w:r>
    </w:p>
    <w:bookmarkEnd w:id="27"/>
    <w:bookmarkStart w:id="28" w:name="arquitectura-del-módulo"/>
    <w:p>
      <w:pPr>
        <w:pStyle w:val="Heading1"/>
      </w:pPr>
      <w:r>
        <w:t xml:space="preserve">Arquitectura del Módulo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└── specialists/</w:t>
      </w:r>
      <w:r>
        <w:br/>
      </w:r>
      <w:r>
        <w:rPr>
          <w:rStyle w:val="VerbatimChar"/>
        </w:rPr>
        <w:t xml:space="preserve">    ├── domain/</w:t>
      </w:r>
      <w:r>
        <w:br/>
      </w:r>
      <w:r>
        <w:rPr>
          <w:rStyle w:val="VerbatimChar"/>
        </w:rPr>
        <w:t xml:space="preserve">    │   ├── entities/</w:t>
      </w:r>
      <w:r>
        <w:br/>
      </w:r>
      <w:r>
        <w:rPr>
          <w:rStyle w:val="VerbatimChar"/>
        </w:rPr>
        <w:t xml:space="preserve">    │   ├── value-objects/</w:t>
      </w:r>
      <w:r>
        <w:br/>
      </w:r>
      <w:r>
        <w:rPr>
          <w:rStyle w:val="VerbatimChar"/>
        </w:rPr>
        <w:t xml:space="preserve">    │   ├── repositories/</w:t>
      </w:r>
      <w:r>
        <w:br/>
      </w:r>
      <w:r>
        <w:rPr>
          <w:rStyle w:val="VerbatimChar"/>
        </w:rPr>
        <w:t xml:space="preserve">    │   ├── events/</w:t>
      </w:r>
      <w:r>
        <w:br/>
      </w:r>
      <w:r>
        <w:rPr>
          <w:rStyle w:val="VerbatimChar"/>
        </w:rPr>
        <w:t xml:space="preserve">    │   └── services/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application/</w:t>
      </w:r>
      <w:r>
        <w:br/>
      </w:r>
      <w:r>
        <w:rPr>
          <w:rStyle w:val="VerbatimChar"/>
        </w:rPr>
        <w:t xml:space="preserve">    │   ├── dto/</w:t>
      </w:r>
      <w:r>
        <w:br/>
      </w:r>
      <w:r>
        <w:rPr>
          <w:rStyle w:val="VerbatimChar"/>
        </w:rPr>
        <w:t xml:space="preserve">    │   ├── validators/</w:t>
      </w:r>
      <w:r>
        <w:br/>
      </w:r>
      <w:r>
        <w:rPr>
          <w:rStyle w:val="VerbatimChar"/>
        </w:rPr>
        <w:t xml:space="preserve">    │   ├── mappers/</w:t>
      </w:r>
      <w:r>
        <w:br/>
      </w:r>
      <w:r>
        <w:rPr>
          <w:rStyle w:val="VerbatimChar"/>
        </w:rPr>
        <w:t xml:space="preserve">    │   └── use-cases/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infrastructure/</w:t>
      </w:r>
      <w:r>
        <w:br/>
      </w:r>
      <w:r>
        <w:rPr>
          <w:rStyle w:val="VerbatimChar"/>
        </w:rPr>
        <w:t xml:space="preserve">    │   ├── firestore/</w:t>
      </w:r>
      <w:r>
        <w:br/>
      </w:r>
      <w:r>
        <w:rPr>
          <w:rStyle w:val="VerbatimChar"/>
        </w:rPr>
        <w:t xml:space="preserve">    │   ├── repositories/</w:t>
      </w:r>
      <w:r>
        <w:br/>
      </w:r>
      <w:r>
        <w:rPr>
          <w:rStyle w:val="VerbatimChar"/>
        </w:rPr>
        <w:t xml:space="preserve">    │   ├── converters/</w:t>
      </w:r>
      <w:r>
        <w:br/>
      </w:r>
      <w:r>
        <w:rPr>
          <w:rStyle w:val="VerbatimChar"/>
        </w:rPr>
        <w:t xml:space="preserve">    │   └── adapters/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presentation/</w:t>
      </w:r>
      <w:r>
        <w:br/>
      </w:r>
      <w:r>
        <w:rPr>
          <w:rStyle w:val="VerbatimChar"/>
        </w:rPr>
        <w:t xml:space="preserve">    │   ├── workspace/</w:t>
      </w:r>
      <w:r>
        <w:br/>
      </w:r>
      <w:r>
        <w:rPr>
          <w:rStyle w:val="VerbatimChar"/>
        </w:rPr>
        <w:t xml:space="preserve">    │   ├── pages/</w:t>
      </w:r>
      <w:r>
        <w:br/>
      </w:r>
      <w:r>
        <w:rPr>
          <w:rStyle w:val="VerbatimChar"/>
        </w:rPr>
        <w:t xml:space="preserve">    │   ├── components/</w:t>
      </w:r>
      <w:r>
        <w:br/>
      </w:r>
      <w:r>
        <w:rPr>
          <w:rStyle w:val="VerbatimChar"/>
        </w:rPr>
        <w:t xml:space="preserve">    │   ├── hooks/</w:t>
      </w:r>
      <w:r>
        <w:br/>
      </w:r>
      <w:r>
        <w:rPr>
          <w:rStyle w:val="VerbatimChar"/>
        </w:rPr>
        <w:t xml:space="preserve">    │   └── forms/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tests/</w:t>
      </w:r>
      <w:r>
        <w:br/>
      </w:r>
      <w:r>
        <w:rPr>
          <w:rStyle w:val="VerbatimChar"/>
        </w:rPr>
        <w:t xml:space="preserve">    └── index.ts</w:t>
      </w:r>
    </w:p>
    <w:p>
      <w:r>
        <w:pict>
          <v:rect style="width:0;height:1.5pt" o:hralign="center" o:hrstd="t" o:hr="t"/>
        </w:pict>
      </w:r>
    </w:p>
    <w:bookmarkEnd w:id="28"/>
    <w:bookmarkStart w:id="29" w:name="entidades"/>
    <w:p>
      <w:pPr>
        <w:pStyle w:val="Heading1"/>
      </w:pPr>
      <w:r>
        <w:t xml:space="preserve">Entidades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05"/>
        </w:numPr>
      </w:pPr>
      <w:r>
        <w:t xml:space="preserve">Specialist</w:t>
      </w:r>
    </w:p>
    <w:p>
      <w:pPr>
        <w:pStyle w:val="Compact"/>
        <w:numPr>
          <w:ilvl w:val="0"/>
          <w:numId w:val="1005"/>
        </w:numPr>
      </w:pPr>
      <w:r>
        <w:t xml:space="preserve">Certification</w:t>
      </w:r>
    </w:p>
    <w:p>
      <w:pPr>
        <w:pStyle w:val="Compact"/>
        <w:numPr>
          <w:ilvl w:val="0"/>
          <w:numId w:val="1005"/>
        </w:numPr>
      </w:pPr>
      <w:r>
        <w:t xml:space="preserve">Skill</w:t>
      </w:r>
    </w:p>
    <w:p>
      <w:pPr>
        <w:pStyle w:val="Compact"/>
        <w:numPr>
          <w:ilvl w:val="0"/>
          <w:numId w:val="1005"/>
        </w:numPr>
      </w:pPr>
      <w:r>
        <w:t xml:space="preserve">WorkingSchedule</w:t>
      </w:r>
    </w:p>
    <w:p>
      <w:pPr>
        <w:pStyle w:val="Compact"/>
        <w:numPr>
          <w:ilvl w:val="0"/>
          <w:numId w:val="1005"/>
        </w:numPr>
      </w:pPr>
      <w:r>
        <w:t xml:space="preserve">AvailabilityRule</w:t>
      </w:r>
    </w:p>
    <w:p>
      <w:pPr>
        <w:pStyle w:val="Compact"/>
        <w:numPr>
          <w:ilvl w:val="0"/>
          <w:numId w:val="1005"/>
        </w:numPr>
      </w:pPr>
      <w:r>
        <w:t xml:space="preserve">LeavePeriod</w:t>
      </w:r>
    </w:p>
    <w:p>
      <w:pPr>
        <w:pStyle w:val="FirstParagraph"/>
      </w:pPr>
      <w:r>
        <w:t xml:space="preserve">Las entidades no dependerán de React, Firebase ni librerías de infraestructura.</w:t>
      </w:r>
    </w:p>
    <w:p>
      <w:r>
        <w:pict>
          <v:rect style="width:0;height:1.5pt" o:hralign="center" o:hrstd="t" o:hr="t"/>
        </w:pict>
      </w:r>
    </w:p>
    <w:bookmarkEnd w:id="29"/>
    <w:bookmarkStart w:id="30" w:name="value-objects"/>
    <w:p>
      <w:pPr>
        <w:pStyle w:val="Heading1"/>
      </w:pPr>
      <w:r>
        <w:t xml:space="preserve">Value Objects</w:t>
      </w:r>
    </w:p>
    <w:p>
      <w:pPr>
        <w:pStyle w:val="FirstParagraph"/>
      </w:pPr>
      <w:r>
        <w:t xml:space="preserve">Crear como mínimo:</w:t>
      </w:r>
    </w:p>
    <w:p>
      <w:pPr>
        <w:pStyle w:val="Compact"/>
        <w:numPr>
          <w:ilvl w:val="0"/>
          <w:numId w:val="1006"/>
        </w:numPr>
      </w:pPr>
      <w:r>
        <w:t xml:space="preserve">SpecialistStatus</w:t>
      </w:r>
    </w:p>
    <w:p>
      <w:pPr>
        <w:pStyle w:val="Compact"/>
        <w:numPr>
          <w:ilvl w:val="0"/>
          <w:numId w:val="1006"/>
        </w:numPr>
      </w:pPr>
      <w:r>
        <w:t xml:space="preserve">Specialty</w:t>
      </w:r>
    </w:p>
    <w:p>
      <w:pPr>
        <w:pStyle w:val="Compact"/>
        <w:numPr>
          <w:ilvl w:val="0"/>
          <w:numId w:val="1006"/>
        </w:numPr>
      </w:pPr>
      <w:r>
        <w:t xml:space="preserve">WorkingHours</w:t>
      </w:r>
    </w:p>
    <w:p>
      <w:pPr>
        <w:pStyle w:val="Compact"/>
        <w:numPr>
          <w:ilvl w:val="0"/>
          <w:numId w:val="1006"/>
        </w:numPr>
      </w:pPr>
      <w:r>
        <w:t xml:space="preserve">CertificationStatus</w:t>
      </w:r>
    </w:p>
    <w:p>
      <w:pPr>
        <w:pStyle w:val="Compact"/>
        <w:numPr>
          <w:ilvl w:val="0"/>
          <w:numId w:val="1006"/>
        </w:numPr>
      </w:pPr>
      <w:r>
        <w:t xml:space="preserve">AvailabilityWindow</w:t>
      </w:r>
    </w:p>
    <w:p>
      <w:pPr>
        <w:pStyle w:val="FirstParagraph"/>
      </w:pPr>
      <w:r>
        <w:t xml:space="preserve">Los Value Objects encapsularán validaciones y reglas del dominio.</w:t>
      </w:r>
    </w:p>
    <w:p>
      <w:r>
        <w:pict>
          <v:rect style="width:0;height:1.5pt" o:hralign="center" o:hrstd="t" o:hr="t"/>
        </w:pict>
      </w:r>
    </w:p>
    <w:bookmarkEnd w:id="30"/>
    <w:bookmarkStart w:id="31" w:name="casos-de-uso"/>
    <w:p>
      <w:pPr>
        <w:pStyle w:val="Heading1"/>
      </w:pPr>
      <w:r>
        <w:t xml:space="preserve">Casos de Uso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07"/>
        </w:numPr>
      </w:pPr>
      <w:r>
        <w:t xml:space="preserve">CreateSpecialist</w:t>
      </w:r>
    </w:p>
    <w:p>
      <w:pPr>
        <w:pStyle w:val="Compact"/>
        <w:numPr>
          <w:ilvl w:val="0"/>
          <w:numId w:val="1007"/>
        </w:numPr>
      </w:pPr>
      <w:r>
        <w:t xml:space="preserve">UpdateSpecialist</w:t>
      </w:r>
    </w:p>
    <w:p>
      <w:pPr>
        <w:pStyle w:val="Compact"/>
        <w:numPr>
          <w:ilvl w:val="0"/>
          <w:numId w:val="1007"/>
        </w:numPr>
      </w:pPr>
      <w:r>
        <w:t xml:space="preserve">ActivateSpecialist</w:t>
      </w:r>
    </w:p>
    <w:p>
      <w:pPr>
        <w:pStyle w:val="Compact"/>
        <w:numPr>
          <w:ilvl w:val="0"/>
          <w:numId w:val="1007"/>
        </w:numPr>
      </w:pPr>
      <w:r>
        <w:t xml:space="preserve">SuspendSpecialist</w:t>
      </w:r>
    </w:p>
    <w:p>
      <w:pPr>
        <w:pStyle w:val="Compact"/>
        <w:numPr>
          <w:ilvl w:val="0"/>
          <w:numId w:val="1007"/>
        </w:numPr>
      </w:pPr>
      <w:r>
        <w:t xml:space="preserve">ArchiveSpecialist</w:t>
      </w:r>
    </w:p>
    <w:p>
      <w:pPr>
        <w:pStyle w:val="Compact"/>
        <w:numPr>
          <w:ilvl w:val="0"/>
          <w:numId w:val="1007"/>
        </w:numPr>
      </w:pPr>
      <w:r>
        <w:t xml:space="preserve">UpdateSchedule</w:t>
      </w:r>
    </w:p>
    <w:p>
      <w:pPr>
        <w:pStyle w:val="Compact"/>
        <w:numPr>
          <w:ilvl w:val="0"/>
          <w:numId w:val="1007"/>
        </w:numPr>
      </w:pPr>
      <w:r>
        <w:t xml:space="preserve">UpdateAvailability</w:t>
      </w:r>
    </w:p>
    <w:p>
      <w:pPr>
        <w:pStyle w:val="Compact"/>
        <w:numPr>
          <w:ilvl w:val="0"/>
          <w:numId w:val="1007"/>
        </w:numPr>
      </w:pPr>
      <w:r>
        <w:t xml:space="preserve">AssignTreatments</w:t>
      </w:r>
    </w:p>
    <w:p>
      <w:pPr>
        <w:pStyle w:val="Compact"/>
        <w:numPr>
          <w:ilvl w:val="0"/>
          <w:numId w:val="1007"/>
        </w:numPr>
      </w:pPr>
      <w:r>
        <w:t xml:space="preserve">UpdateCertifications</w:t>
      </w:r>
    </w:p>
    <w:p>
      <w:pPr>
        <w:pStyle w:val="Compact"/>
        <w:numPr>
          <w:ilvl w:val="0"/>
          <w:numId w:val="1007"/>
        </w:numPr>
      </w:pPr>
      <w:r>
        <w:t xml:space="preserve">UpdateSkills</w:t>
      </w:r>
    </w:p>
    <w:p>
      <w:pPr>
        <w:pStyle w:val="Compact"/>
        <w:numPr>
          <w:ilvl w:val="0"/>
          <w:numId w:val="1007"/>
        </w:numPr>
      </w:pPr>
      <w:r>
        <w:t xml:space="preserve">SearchSpecialists</w:t>
      </w:r>
    </w:p>
    <w:p>
      <w:pPr>
        <w:pStyle w:val="Compact"/>
        <w:numPr>
          <w:ilvl w:val="0"/>
          <w:numId w:val="1007"/>
        </w:numPr>
      </w:pPr>
      <w:r>
        <w:t xml:space="preserve">GetSpecialistAvailability</w:t>
      </w:r>
    </w:p>
    <w:p>
      <w:pPr>
        <w:pStyle w:val="FirstParagraph"/>
      </w:pPr>
      <w:r>
        <w:t xml:space="preserve">Cada caso de uso tendrá una única responsabilidad.</w:t>
      </w:r>
    </w:p>
    <w:p>
      <w:r>
        <w:pict>
          <v:rect style="width:0;height:1.5pt" o:hralign="center" o:hrstd="t" o:hr="t"/>
        </w:pict>
      </w:r>
    </w:p>
    <w:bookmarkEnd w:id="31"/>
    <w:bookmarkStart w:id="32" w:name="repositorios"/>
    <w:p>
      <w:pPr>
        <w:pStyle w:val="Heading1"/>
      </w:pPr>
      <w:r>
        <w:t xml:space="preserve">Repositorios</w:t>
      </w:r>
    </w:p>
    <w:p>
      <w:pPr>
        <w:pStyle w:val="FirstParagraph"/>
      </w:pPr>
      <w:r>
        <w:t xml:space="preserve">Definir la interfaz:</w:t>
      </w:r>
    </w:p>
    <w:p>
      <w:pPr>
        <w:pStyle w:val="Compact"/>
        <w:numPr>
          <w:ilvl w:val="0"/>
          <w:numId w:val="1008"/>
        </w:numPr>
      </w:pPr>
      <w:r>
        <w:t xml:space="preserve">SpecialistRepository</w:t>
      </w:r>
    </w:p>
    <w:p>
      <w:pPr>
        <w:pStyle w:val="FirstParagraph"/>
      </w:pPr>
      <w:r>
        <w:t xml:space="preserve">La implementación concreta utilizará Firestore.</w:t>
      </w:r>
    </w:p>
    <w:p>
      <w:pPr>
        <w:pStyle w:val="BodyText"/>
      </w:pPr>
      <w:r>
        <w:t xml:space="preserve">Los casos de uso nunca accederán directamente al SDK.</w:t>
      </w:r>
    </w:p>
    <w:p>
      <w:r>
        <w:pict>
          <v:rect style="width:0;height:1.5pt" o:hralign="center" o:hrstd="t" o:hr="t"/>
        </w:pict>
      </w:r>
    </w:p>
    <w:bookmarkEnd w:id="32"/>
    <w:bookmarkStart w:id="33" w:name="eventos"/>
    <w:p>
      <w:pPr>
        <w:pStyle w:val="Heading1"/>
      </w:pPr>
      <w:r>
        <w:t xml:space="preserve">Eventos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09"/>
        </w:numPr>
      </w:pPr>
      <w:r>
        <w:t xml:space="preserve">SpecialistCreated</w:t>
      </w:r>
    </w:p>
    <w:p>
      <w:pPr>
        <w:pStyle w:val="Compact"/>
        <w:numPr>
          <w:ilvl w:val="0"/>
          <w:numId w:val="1009"/>
        </w:numPr>
      </w:pPr>
      <w:r>
        <w:t xml:space="preserve">SpecialistUpdated</w:t>
      </w:r>
    </w:p>
    <w:p>
      <w:pPr>
        <w:pStyle w:val="Compact"/>
        <w:numPr>
          <w:ilvl w:val="0"/>
          <w:numId w:val="1009"/>
        </w:numPr>
      </w:pPr>
      <w:r>
        <w:t xml:space="preserve">SpecialistActivated</w:t>
      </w:r>
    </w:p>
    <w:p>
      <w:pPr>
        <w:pStyle w:val="Compact"/>
        <w:numPr>
          <w:ilvl w:val="0"/>
          <w:numId w:val="1009"/>
        </w:numPr>
      </w:pPr>
      <w:r>
        <w:t xml:space="preserve">SpecialistSuspended</w:t>
      </w:r>
    </w:p>
    <w:p>
      <w:pPr>
        <w:pStyle w:val="Compact"/>
        <w:numPr>
          <w:ilvl w:val="0"/>
          <w:numId w:val="1009"/>
        </w:numPr>
      </w:pPr>
      <w:r>
        <w:t xml:space="preserve">SpecialistArchived</w:t>
      </w:r>
    </w:p>
    <w:p>
      <w:pPr>
        <w:pStyle w:val="Compact"/>
        <w:numPr>
          <w:ilvl w:val="0"/>
          <w:numId w:val="1009"/>
        </w:numPr>
      </w:pPr>
      <w:r>
        <w:t xml:space="preserve">SpecialistScheduleUpdated</w:t>
      </w:r>
    </w:p>
    <w:p>
      <w:pPr>
        <w:pStyle w:val="Compact"/>
        <w:numPr>
          <w:ilvl w:val="0"/>
          <w:numId w:val="1009"/>
        </w:numPr>
      </w:pPr>
      <w:r>
        <w:t xml:space="preserve">SpecialistAvailabilityUpdated</w:t>
      </w:r>
    </w:p>
    <w:p>
      <w:pPr>
        <w:pStyle w:val="Compact"/>
        <w:numPr>
          <w:ilvl w:val="0"/>
          <w:numId w:val="1009"/>
        </w:numPr>
      </w:pPr>
      <w:r>
        <w:t xml:space="preserve">SpecialistTreatmentsAssigned</w:t>
      </w:r>
    </w:p>
    <w:p>
      <w:pPr>
        <w:pStyle w:val="Compact"/>
        <w:numPr>
          <w:ilvl w:val="0"/>
          <w:numId w:val="1009"/>
        </w:numPr>
      </w:pPr>
      <w:r>
        <w:t xml:space="preserve">SpecialistCertificationUpdated</w:t>
      </w:r>
    </w:p>
    <w:p>
      <w:pPr>
        <w:pStyle w:val="Compact"/>
        <w:numPr>
          <w:ilvl w:val="0"/>
          <w:numId w:val="1009"/>
        </w:numPr>
      </w:pPr>
      <w:r>
        <w:t xml:space="preserve">SpecialistSkillsUpdated</w:t>
      </w:r>
    </w:p>
    <w:p>
      <w:pPr>
        <w:pStyle w:val="FirstParagraph"/>
      </w:pPr>
      <w:r>
        <w:t xml:space="preserve">Todos seguirán la especificación definida en</w:t>
      </w:r>
      <w:r>
        <w:t xml:space="preserve"> </w:t>
      </w:r>
      <w:r>
        <w:rPr>
          <w:b/>
          <w:bCs/>
        </w:rPr>
        <w:t xml:space="preserve">A010 — Event Driven Architecture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cloud-functions"/>
    <w:p>
      <w:pPr>
        <w:pStyle w:val="Heading1"/>
      </w:pPr>
      <w:r>
        <w:t xml:space="preserve">Cloud Functions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10"/>
        </w:numPr>
      </w:pPr>
      <w:r>
        <w:t xml:space="preserve">createSpecialist</w:t>
      </w:r>
    </w:p>
    <w:p>
      <w:pPr>
        <w:pStyle w:val="Compact"/>
        <w:numPr>
          <w:ilvl w:val="0"/>
          <w:numId w:val="1010"/>
        </w:numPr>
      </w:pPr>
      <w:r>
        <w:t xml:space="preserve">updateSpecialist</w:t>
      </w:r>
    </w:p>
    <w:p>
      <w:pPr>
        <w:pStyle w:val="Compact"/>
        <w:numPr>
          <w:ilvl w:val="0"/>
          <w:numId w:val="1010"/>
        </w:numPr>
      </w:pPr>
      <w:r>
        <w:t xml:space="preserve">activateSpecialist</w:t>
      </w:r>
    </w:p>
    <w:p>
      <w:pPr>
        <w:pStyle w:val="Compact"/>
        <w:numPr>
          <w:ilvl w:val="0"/>
          <w:numId w:val="1010"/>
        </w:numPr>
      </w:pPr>
      <w:r>
        <w:t xml:space="preserve">suspendSpecialist</w:t>
      </w:r>
    </w:p>
    <w:p>
      <w:pPr>
        <w:pStyle w:val="Compact"/>
        <w:numPr>
          <w:ilvl w:val="0"/>
          <w:numId w:val="1010"/>
        </w:numPr>
      </w:pPr>
      <w:r>
        <w:t xml:space="preserve">archiveSpecialist</w:t>
      </w:r>
    </w:p>
    <w:p>
      <w:pPr>
        <w:pStyle w:val="Compact"/>
        <w:numPr>
          <w:ilvl w:val="0"/>
          <w:numId w:val="1010"/>
        </w:numPr>
      </w:pPr>
      <w:r>
        <w:t xml:space="preserve">updateSchedule</w:t>
      </w:r>
    </w:p>
    <w:p>
      <w:pPr>
        <w:pStyle w:val="Compact"/>
        <w:numPr>
          <w:ilvl w:val="0"/>
          <w:numId w:val="1010"/>
        </w:numPr>
      </w:pPr>
      <w:r>
        <w:t xml:space="preserve">updateAvailability</w:t>
      </w:r>
    </w:p>
    <w:p>
      <w:pPr>
        <w:pStyle w:val="Compact"/>
        <w:numPr>
          <w:ilvl w:val="0"/>
          <w:numId w:val="1010"/>
        </w:numPr>
      </w:pPr>
      <w:r>
        <w:t xml:space="preserve">assignTreatments</w:t>
      </w:r>
    </w:p>
    <w:p>
      <w:pPr>
        <w:pStyle w:val="Compact"/>
        <w:numPr>
          <w:ilvl w:val="0"/>
          <w:numId w:val="1010"/>
        </w:numPr>
      </w:pPr>
      <w:r>
        <w:t xml:space="preserve">updateCertifications</w:t>
      </w:r>
    </w:p>
    <w:p>
      <w:pPr>
        <w:pStyle w:val="Compact"/>
        <w:numPr>
          <w:ilvl w:val="0"/>
          <w:numId w:val="1010"/>
        </w:numPr>
      </w:pPr>
      <w:r>
        <w:t xml:space="preserve">updateSkills</w:t>
      </w:r>
    </w:p>
    <w:p>
      <w:pPr>
        <w:pStyle w:val="FirstParagraph"/>
      </w:pPr>
      <w:r>
        <w:t xml:space="preserve">Cada función deberá:</w:t>
      </w:r>
    </w:p>
    <w:p>
      <w:pPr>
        <w:pStyle w:val="Compact"/>
        <w:numPr>
          <w:ilvl w:val="0"/>
          <w:numId w:val="1011"/>
        </w:numPr>
      </w:pPr>
      <w:r>
        <w:t xml:space="preserve">Validar autenticación.</w:t>
      </w:r>
    </w:p>
    <w:p>
      <w:pPr>
        <w:pStyle w:val="Compact"/>
        <w:numPr>
          <w:ilvl w:val="0"/>
          <w:numId w:val="1011"/>
        </w:numPr>
      </w:pPr>
      <w:r>
        <w:t xml:space="preserve">Validar permisos.</w:t>
      </w:r>
    </w:p>
    <w:p>
      <w:pPr>
        <w:pStyle w:val="Compact"/>
        <w:numPr>
          <w:ilvl w:val="0"/>
          <w:numId w:val="1011"/>
        </w:numPr>
      </w:pPr>
      <w:r>
        <w:t xml:space="preserve">Validar organización.</w:t>
      </w:r>
    </w:p>
    <w:p>
      <w:pPr>
        <w:pStyle w:val="Compact"/>
        <w:numPr>
          <w:ilvl w:val="0"/>
          <w:numId w:val="1011"/>
        </w:numPr>
      </w:pPr>
      <w:r>
        <w:t xml:space="preserve">Registrar auditoría.</w:t>
      </w:r>
    </w:p>
    <w:p>
      <w:pPr>
        <w:pStyle w:val="Compact"/>
        <w:numPr>
          <w:ilvl w:val="0"/>
          <w:numId w:val="1011"/>
        </w:numPr>
      </w:pPr>
      <w:r>
        <w:t xml:space="preserve">Publicar eventos.</w:t>
      </w:r>
    </w:p>
    <w:p>
      <w:pPr>
        <w:pStyle w:val="Compact"/>
        <w:numPr>
          <w:ilvl w:val="0"/>
          <w:numId w:val="1011"/>
        </w:numPr>
      </w:pPr>
      <w:r>
        <w:t xml:space="preserve">Utilizar Result Pattern.</w:t>
      </w:r>
    </w:p>
    <w:p>
      <w:r>
        <w:pict>
          <v:rect style="width:0;height:1.5pt" o:hralign="center" o:hrstd="t" o:hr="t"/>
        </w:pict>
      </w:r>
    </w:p>
    <w:bookmarkEnd w:id="34"/>
    <w:bookmarkStart w:id="35" w:name="frontend"/>
    <w:p>
      <w:pPr>
        <w:pStyle w:val="Heading1"/>
      </w:pPr>
      <w:r>
        <w:t xml:space="preserve">Frontend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12"/>
        </w:numPr>
      </w:pPr>
      <w:r>
        <w:t xml:space="preserve">SpecialistWorkspace</w:t>
      </w:r>
    </w:p>
    <w:p>
      <w:pPr>
        <w:pStyle w:val="Compact"/>
        <w:numPr>
          <w:ilvl w:val="0"/>
          <w:numId w:val="1012"/>
        </w:numPr>
      </w:pPr>
      <w:r>
        <w:t xml:space="preserve">SpecialistList</w:t>
      </w:r>
    </w:p>
    <w:p>
      <w:pPr>
        <w:pStyle w:val="Compact"/>
        <w:numPr>
          <w:ilvl w:val="0"/>
          <w:numId w:val="1012"/>
        </w:numPr>
      </w:pPr>
      <w:r>
        <w:t xml:space="preserve">SpecialistDetail</w:t>
      </w:r>
    </w:p>
    <w:p>
      <w:pPr>
        <w:pStyle w:val="Compact"/>
        <w:numPr>
          <w:ilvl w:val="0"/>
          <w:numId w:val="1012"/>
        </w:numPr>
      </w:pPr>
      <w:r>
        <w:t xml:space="preserve">ScheduleManager</w:t>
      </w:r>
    </w:p>
    <w:p>
      <w:pPr>
        <w:pStyle w:val="Compact"/>
        <w:numPr>
          <w:ilvl w:val="0"/>
          <w:numId w:val="1012"/>
        </w:numPr>
      </w:pPr>
      <w:r>
        <w:t xml:space="preserve">AvailabilityManager</w:t>
      </w:r>
    </w:p>
    <w:p>
      <w:pPr>
        <w:pStyle w:val="Compact"/>
        <w:numPr>
          <w:ilvl w:val="0"/>
          <w:numId w:val="1012"/>
        </w:numPr>
      </w:pPr>
      <w:r>
        <w:t xml:space="preserve">CertificationManager</w:t>
      </w:r>
    </w:p>
    <w:p>
      <w:pPr>
        <w:pStyle w:val="Compact"/>
        <w:numPr>
          <w:ilvl w:val="0"/>
          <w:numId w:val="1012"/>
        </w:numPr>
      </w:pPr>
      <w:r>
        <w:t xml:space="preserve">SkillManager</w:t>
      </w:r>
    </w:p>
    <w:p>
      <w:pPr>
        <w:pStyle w:val="Compact"/>
        <w:numPr>
          <w:ilvl w:val="0"/>
          <w:numId w:val="1012"/>
        </w:numPr>
      </w:pPr>
      <w:r>
        <w:t xml:space="preserve">TreatmentAssignmentPanel</w:t>
      </w:r>
    </w:p>
    <w:p>
      <w:pPr>
        <w:pStyle w:val="Compact"/>
        <w:numPr>
          <w:ilvl w:val="0"/>
          <w:numId w:val="1012"/>
        </w:numPr>
      </w:pPr>
      <w:r>
        <w:t xml:space="preserve">SpecialistFilters</w:t>
      </w:r>
    </w:p>
    <w:p>
      <w:pPr>
        <w:pStyle w:val="FirstParagraph"/>
      </w:pPr>
      <w:r>
        <w:t xml:space="preserve">Todos reutilizarán</w:t>
      </w:r>
      <w:r>
        <w:t xml:space="preserve"> </w:t>
      </w:r>
      <w:r>
        <w:rPr>
          <w:rStyle w:val="VerbatimChar"/>
        </w:rPr>
        <w:t xml:space="preserve">packages/ui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hooks"/>
    <w:p>
      <w:pPr>
        <w:pStyle w:val="Heading1"/>
      </w:pPr>
      <w:r>
        <w:t xml:space="preserve">Hooks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13"/>
        </w:numPr>
      </w:pPr>
      <w:r>
        <w:t xml:space="preserve">useSpecialists</w:t>
      </w:r>
    </w:p>
    <w:p>
      <w:pPr>
        <w:pStyle w:val="Compact"/>
        <w:numPr>
          <w:ilvl w:val="0"/>
          <w:numId w:val="1013"/>
        </w:numPr>
      </w:pPr>
      <w:r>
        <w:t xml:space="preserve">useSpecialist</w:t>
      </w:r>
    </w:p>
    <w:p>
      <w:pPr>
        <w:pStyle w:val="Compact"/>
        <w:numPr>
          <w:ilvl w:val="0"/>
          <w:numId w:val="1013"/>
        </w:numPr>
      </w:pPr>
      <w:r>
        <w:t xml:space="preserve">useCreateSpecialist</w:t>
      </w:r>
    </w:p>
    <w:p>
      <w:pPr>
        <w:pStyle w:val="Compact"/>
        <w:numPr>
          <w:ilvl w:val="0"/>
          <w:numId w:val="1013"/>
        </w:numPr>
      </w:pPr>
      <w:r>
        <w:t xml:space="preserve">useUpdateSpecialist</w:t>
      </w:r>
    </w:p>
    <w:p>
      <w:pPr>
        <w:pStyle w:val="Compact"/>
        <w:numPr>
          <w:ilvl w:val="0"/>
          <w:numId w:val="1013"/>
        </w:numPr>
      </w:pPr>
      <w:r>
        <w:t xml:space="preserve">useAvailability</w:t>
      </w:r>
    </w:p>
    <w:p>
      <w:pPr>
        <w:pStyle w:val="Compact"/>
        <w:numPr>
          <w:ilvl w:val="0"/>
          <w:numId w:val="1013"/>
        </w:numPr>
      </w:pPr>
      <w:r>
        <w:t xml:space="preserve">useSchedule</w:t>
      </w:r>
    </w:p>
    <w:p>
      <w:pPr>
        <w:pStyle w:val="Compact"/>
        <w:numPr>
          <w:ilvl w:val="0"/>
          <w:numId w:val="1013"/>
        </w:numPr>
      </w:pPr>
      <w:r>
        <w:t xml:space="preserve">useCertifications</w:t>
      </w:r>
    </w:p>
    <w:p>
      <w:pPr>
        <w:pStyle w:val="Compact"/>
        <w:numPr>
          <w:ilvl w:val="0"/>
          <w:numId w:val="1013"/>
        </w:numPr>
      </w:pPr>
      <w:r>
        <w:t xml:space="preserve">useSkills</w:t>
      </w:r>
    </w:p>
    <w:p>
      <w:pPr>
        <w:pStyle w:val="FirstParagraph"/>
      </w:pPr>
      <w:r>
        <w:t xml:space="preserve">Los hooks consumirán servicios de aplicación, no el SDK directamente.</w:t>
      </w:r>
    </w:p>
    <w:p>
      <w:r>
        <w:pict>
          <v:rect style="width:0;height:1.5pt" o:hralign="center" o:hrstd="t" o:hr="t"/>
        </w:pict>
      </w:r>
    </w:p>
    <w:bookmarkEnd w:id="36"/>
    <w:bookmarkStart w:id="37" w:name="integraciones"/>
    <w:p>
      <w:pPr>
        <w:pStyle w:val="Heading1"/>
      </w:pPr>
      <w:r>
        <w:t xml:space="preserve">Integraciones</w:t>
      </w:r>
    </w:p>
    <w:p>
      <w:pPr>
        <w:pStyle w:val="FirstParagraph"/>
      </w:pPr>
      <w:r>
        <w:t xml:space="preserve">Validar integración con:</w:t>
      </w:r>
    </w:p>
    <w:p>
      <w:pPr>
        <w:pStyle w:val="Compact"/>
        <w:numPr>
          <w:ilvl w:val="0"/>
          <w:numId w:val="1014"/>
        </w:numPr>
      </w:pPr>
      <w:r>
        <w:t xml:space="preserve">Treatments.</w:t>
      </w:r>
    </w:p>
    <w:p>
      <w:pPr>
        <w:pStyle w:val="Compact"/>
        <w:numPr>
          <w:ilvl w:val="0"/>
          <w:numId w:val="1014"/>
        </w:numPr>
      </w:pPr>
      <w:r>
        <w:t xml:space="preserve">Appointments.</w:t>
      </w:r>
    </w:p>
    <w:p>
      <w:pPr>
        <w:pStyle w:val="Compact"/>
        <w:numPr>
          <w:ilvl w:val="0"/>
          <w:numId w:val="1014"/>
        </w:numPr>
      </w:pPr>
      <w:r>
        <w:t xml:space="preserve">CRM.</w:t>
      </w:r>
    </w:p>
    <w:p>
      <w:pPr>
        <w:pStyle w:val="Compact"/>
        <w:numPr>
          <w:ilvl w:val="0"/>
          <w:numId w:val="1014"/>
        </w:numPr>
      </w:pPr>
      <w:r>
        <w:t xml:space="preserve">Analytics.</w:t>
      </w:r>
    </w:p>
    <w:p>
      <w:pPr>
        <w:pStyle w:val="Compact"/>
        <w:numPr>
          <w:ilvl w:val="0"/>
          <w:numId w:val="1014"/>
        </w:numPr>
      </w:pPr>
      <w:r>
        <w:t xml:space="preserve">AI.</w:t>
      </w:r>
    </w:p>
    <w:p>
      <w:pPr>
        <w:pStyle w:val="FirstParagraph"/>
      </w:pPr>
      <w:r>
        <w:t xml:space="preserve">Toda integración deberá realizarse mediante contratos y eventos.</w:t>
      </w:r>
    </w:p>
    <w:p>
      <w:r>
        <w:pict>
          <v:rect style="width:0;height:1.5pt" o:hralign="center" o:hrstd="t" o:hr="t"/>
        </w:pict>
      </w:r>
    </w:p>
    <w:bookmarkEnd w:id="37"/>
    <w:bookmarkStart w:id="44" w:name="fases-de-implementación"/>
    <w:p>
      <w:pPr>
        <w:pStyle w:val="Heading1"/>
      </w:pPr>
      <w:r>
        <w:t xml:space="preserve">Fases de Implementación</w:t>
      </w:r>
    </w:p>
    <w:bookmarkStart w:id="38" w:name="fase-1"/>
    <w:p>
      <w:pPr>
        <w:pStyle w:val="Heading2"/>
      </w:pPr>
      <w:r>
        <w:t xml:space="preserve">Fase 1</w:t>
      </w:r>
    </w:p>
    <w:p>
      <w:pPr>
        <w:pStyle w:val="Compact"/>
        <w:numPr>
          <w:ilvl w:val="0"/>
          <w:numId w:val="1015"/>
        </w:numPr>
      </w:pPr>
      <w:r>
        <w:t xml:space="preserve">Entidades.</w:t>
      </w:r>
    </w:p>
    <w:p>
      <w:pPr>
        <w:pStyle w:val="Compact"/>
        <w:numPr>
          <w:ilvl w:val="0"/>
          <w:numId w:val="1015"/>
        </w:numPr>
      </w:pPr>
      <w:r>
        <w:t xml:space="preserve">Value Objects.</w:t>
      </w:r>
    </w:p>
    <w:p>
      <w:pPr>
        <w:pStyle w:val="Compact"/>
        <w:numPr>
          <w:ilvl w:val="0"/>
          <w:numId w:val="1015"/>
        </w:numPr>
      </w:pPr>
      <w:r>
        <w:t xml:space="preserve">Interfaces.</w:t>
      </w:r>
    </w:p>
    <w:p>
      <w:pPr>
        <w:pStyle w:val="Compact"/>
        <w:numPr>
          <w:ilvl w:val="0"/>
          <w:numId w:val="1015"/>
        </w:numPr>
      </w:pPr>
      <w:r>
        <w:t xml:space="preserve">DTOs.</w:t>
      </w:r>
    </w:p>
    <w:p>
      <w:r>
        <w:pict>
          <v:rect style="width:0;height:1.5pt" o:hralign="center" o:hrstd="t" o:hr="t"/>
        </w:pict>
      </w:r>
    </w:p>
    <w:bookmarkEnd w:id="38"/>
    <w:bookmarkStart w:id="39" w:name="fase-2"/>
    <w:p>
      <w:pPr>
        <w:pStyle w:val="Heading2"/>
      </w:pPr>
      <w:r>
        <w:t xml:space="preserve">Fase 2</w:t>
      </w:r>
    </w:p>
    <w:p>
      <w:pPr>
        <w:pStyle w:val="Compact"/>
        <w:numPr>
          <w:ilvl w:val="0"/>
          <w:numId w:val="1016"/>
        </w:numPr>
      </w:pPr>
      <w:r>
        <w:t xml:space="preserve">Repositorios.</w:t>
      </w:r>
    </w:p>
    <w:p>
      <w:pPr>
        <w:pStyle w:val="Compact"/>
        <w:numPr>
          <w:ilvl w:val="0"/>
          <w:numId w:val="1016"/>
        </w:numPr>
      </w:pPr>
      <w:r>
        <w:t xml:space="preserve">Adaptadores.</w:t>
      </w:r>
    </w:p>
    <w:p>
      <w:pPr>
        <w:pStyle w:val="Compact"/>
        <w:numPr>
          <w:ilvl w:val="0"/>
          <w:numId w:val="1016"/>
        </w:numPr>
      </w:pPr>
      <w:r>
        <w:t xml:space="preserve">Conversores.</w:t>
      </w:r>
    </w:p>
    <w:p>
      <w:r>
        <w:pict>
          <v:rect style="width:0;height:1.5pt" o:hralign="center" o:hrstd="t" o:hr="t"/>
        </w:pict>
      </w:r>
    </w:p>
    <w:bookmarkEnd w:id="39"/>
    <w:bookmarkStart w:id="40" w:name="fase-3"/>
    <w:p>
      <w:pPr>
        <w:pStyle w:val="Heading2"/>
      </w:pPr>
      <w:r>
        <w:t xml:space="preserve">Fase 3</w:t>
      </w:r>
    </w:p>
    <w:p>
      <w:pPr>
        <w:pStyle w:val="Compact"/>
        <w:numPr>
          <w:ilvl w:val="0"/>
          <w:numId w:val="1017"/>
        </w:numPr>
      </w:pPr>
      <w:r>
        <w:t xml:space="preserve">Casos de uso.</w:t>
      </w:r>
    </w:p>
    <w:p>
      <w:pPr>
        <w:pStyle w:val="Compact"/>
        <w:numPr>
          <w:ilvl w:val="0"/>
          <w:numId w:val="1017"/>
        </w:numPr>
      </w:pPr>
      <w:r>
        <w:t xml:space="preserve">Eventos.</w:t>
      </w:r>
    </w:p>
    <w:p>
      <w:r>
        <w:pict>
          <v:rect style="width:0;height:1.5pt" o:hralign="center" o:hrstd="t" o:hr="t"/>
        </w:pict>
      </w:r>
    </w:p>
    <w:bookmarkEnd w:id="40"/>
    <w:bookmarkStart w:id="41" w:name="fase-4"/>
    <w:p>
      <w:pPr>
        <w:pStyle w:val="Heading2"/>
      </w:pPr>
      <w:r>
        <w:t xml:space="preserve">Fase 4</w:t>
      </w:r>
    </w:p>
    <w:p>
      <w:pPr>
        <w:pStyle w:val="Compact"/>
        <w:numPr>
          <w:ilvl w:val="0"/>
          <w:numId w:val="1018"/>
        </w:numPr>
      </w:pPr>
      <w:r>
        <w:t xml:space="preserve">Cloud Functions.</w:t>
      </w:r>
    </w:p>
    <w:p>
      <w:r>
        <w:pict>
          <v:rect style="width:0;height:1.5pt" o:hralign="center" o:hrstd="t" o:hr="t"/>
        </w:pict>
      </w:r>
    </w:p>
    <w:bookmarkEnd w:id="41"/>
    <w:bookmarkStart w:id="42" w:name="fase-5"/>
    <w:p>
      <w:pPr>
        <w:pStyle w:val="Heading2"/>
      </w:pPr>
      <w:r>
        <w:t xml:space="preserve">Fase 5</w:t>
      </w:r>
    </w:p>
    <w:p>
      <w:pPr>
        <w:pStyle w:val="Compact"/>
        <w:numPr>
          <w:ilvl w:val="0"/>
          <w:numId w:val="1019"/>
        </w:numPr>
      </w:pPr>
      <w:r>
        <w:t xml:space="preserve">Workspace.</w:t>
      </w:r>
    </w:p>
    <w:p>
      <w:pPr>
        <w:pStyle w:val="Compact"/>
        <w:numPr>
          <w:ilvl w:val="0"/>
          <w:numId w:val="1019"/>
        </w:numPr>
      </w:pPr>
      <w:r>
        <w:t xml:space="preserve">Componentes.</w:t>
      </w:r>
    </w:p>
    <w:p>
      <w:pPr>
        <w:pStyle w:val="Compact"/>
        <w:numPr>
          <w:ilvl w:val="0"/>
          <w:numId w:val="1019"/>
        </w:numPr>
      </w:pPr>
      <w:r>
        <w:t xml:space="preserve">Formularios.</w:t>
      </w:r>
    </w:p>
    <w:p>
      <w:pPr>
        <w:pStyle w:val="Compact"/>
        <w:numPr>
          <w:ilvl w:val="0"/>
          <w:numId w:val="1019"/>
        </w:numPr>
      </w:pPr>
      <w:r>
        <w:t xml:space="preserve">Hooks.</w:t>
      </w:r>
    </w:p>
    <w:p>
      <w:r>
        <w:pict>
          <v:rect style="width:0;height:1.5pt" o:hralign="center" o:hrstd="t" o:hr="t"/>
        </w:pict>
      </w:r>
    </w:p>
    <w:bookmarkEnd w:id="42"/>
    <w:bookmarkStart w:id="43" w:name="fase-6"/>
    <w:p>
      <w:pPr>
        <w:pStyle w:val="Heading2"/>
      </w:pPr>
      <w:r>
        <w:t xml:space="preserve">Fase 6</w:t>
      </w:r>
    </w:p>
    <w:p>
      <w:pPr>
        <w:pStyle w:val="Compact"/>
        <w:numPr>
          <w:ilvl w:val="0"/>
          <w:numId w:val="1020"/>
        </w:numPr>
      </w:pPr>
      <w:r>
        <w:t xml:space="preserve">Integración.</w:t>
      </w:r>
    </w:p>
    <w:p>
      <w:pPr>
        <w:pStyle w:val="Compact"/>
        <w:numPr>
          <w:ilvl w:val="0"/>
          <w:numId w:val="1020"/>
        </w:numPr>
      </w:pPr>
      <w:r>
        <w:t xml:space="preserve">Pruebas.</w:t>
      </w:r>
    </w:p>
    <w:p>
      <w:pPr>
        <w:pStyle w:val="Compact"/>
        <w:numPr>
          <w:ilvl w:val="0"/>
          <w:numId w:val="1020"/>
        </w:numPr>
      </w:pPr>
      <w:r>
        <w:t xml:space="preserve">Optimización.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efinition-of-ready-dor"/>
    <w:p>
      <w:pPr>
        <w:pStyle w:val="Heading1"/>
      </w:pPr>
      <w:r>
        <w:t xml:space="preserve">Definition of Ready (DoR)</w:t>
      </w:r>
    </w:p>
    <w:p>
      <w:pPr>
        <w:pStyle w:val="FirstParagraph"/>
      </w:pPr>
      <w:r>
        <w:t xml:space="preserve">Una tarea podrá comenzar únicamente cuando:</w:t>
      </w:r>
    </w:p>
    <w:p>
      <w:pPr>
        <w:pStyle w:val="Compact"/>
        <w:numPr>
          <w:ilvl w:val="0"/>
          <w:numId w:val="1021"/>
        </w:numPr>
      </w:pPr>
      <w:r>
        <w:t xml:space="preserve">La documentación esté aprobada.</w:t>
      </w:r>
    </w:p>
    <w:p>
      <w:pPr>
        <w:pStyle w:val="Compact"/>
        <w:numPr>
          <w:ilvl w:val="0"/>
          <w:numId w:val="1021"/>
        </w:numPr>
      </w:pPr>
      <w:r>
        <w:t xml:space="preserve">Las dependencias estén disponibles.</w:t>
      </w:r>
    </w:p>
    <w:p>
      <w:pPr>
        <w:pStyle w:val="Compact"/>
        <w:numPr>
          <w:ilvl w:val="0"/>
          <w:numId w:val="1021"/>
        </w:numPr>
      </w:pPr>
      <w:r>
        <w:t xml:space="preserve">Los contratos estén definidos.</w:t>
      </w:r>
    </w:p>
    <w:p>
      <w:pPr>
        <w:pStyle w:val="Compact"/>
        <w:numPr>
          <w:ilvl w:val="0"/>
          <w:numId w:val="1021"/>
        </w:numPr>
      </w:pPr>
      <w:r>
        <w:t xml:space="preserve">Los criterios de aceptación sean claros.</w:t>
      </w:r>
    </w:p>
    <w:p>
      <w:r>
        <w:pict>
          <v:rect style="width:0;height:1.5pt" o:hralign="center" o:hrstd="t" o:hr="t"/>
        </w:pict>
      </w:r>
    </w:p>
    <w:bookmarkEnd w:id="45"/>
    <w:bookmarkStart w:id="46" w:name="definition-of-done-dod"/>
    <w:p>
      <w:pPr>
        <w:pStyle w:val="Heading1"/>
      </w:pPr>
      <w:r>
        <w:t xml:space="preserve">Definition of Done (DoD)</w:t>
      </w:r>
    </w:p>
    <w:p>
      <w:pPr>
        <w:pStyle w:val="FirstParagraph"/>
      </w:pPr>
      <w:r>
        <w:t xml:space="preserve">Una tarea se considerará terminada cuando:</w:t>
      </w:r>
    </w:p>
    <w:p>
      <w:pPr>
        <w:pStyle w:val="Compact"/>
        <w:numPr>
          <w:ilvl w:val="0"/>
          <w:numId w:val="1022"/>
        </w:numPr>
      </w:pPr>
      <w:r>
        <w:t xml:space="preserve">Compile correctamente.</w:t>
      </w:r>
    </w:p>
    <w:p>
      <w:pPr>
        <w:pStyle w:val="Compact"/>
        <w:numPr>
          <w:ilvl w:val="0"/>
          <w:numId w:val="1022"/>
        </w:numPr>
      </w:pPr>
      <w:r>
        <w:t xml:space="preserve">Pase todas las pruebas.</w:t>
      </w:r>
    </w:p>
    <w:p>
      <w:pPr>
        <w:pStyle w:val="Compact"/>
        <w:numPr>
          <w:ilvl w:val="0"/>
          <w:numId w:val="1022"/>
        </w:numPr>
      </w:pPr>
      <w:r>
        <w:t xml:space="preserve">Cumpla la cobertura mínima.</w:t>
      </w:r>
    </w:p>
    <w:p>
      <w:pPr>
        <w:pStyle w:val="Compact"/>
        <w:numPr>
          <w:ilvl w:val="0"/>
          <w:numId w:val="1022"/>
        </w:numPr>
      </w:pPr>
      <w:r>
        <w:t xml:space="preserve">No existan errores críticos.</w:t>
      </w:r>
    </w:p>
    <w:p>
      <w:pPr>
        <w:pStyle w:val="Compact"/>
        <w:numPr>
          <w:ilvl w:val="0"/>
          <w:numId w:val="1022"/>
        </w:numPr>
      </w:pPr>
      <w:r>
        <w:t xml:space="preserve">La documentación esté actualizada.</w:t>
      </w:r>
    </w:p>
    <w:p>
      <w:pPr>
        <w:pStyle w:val="Compact"/>
        <w:numPr>
          <w:ilvl w:val="0"/>
          <w:numId w:val="1022"/>
        </w:numPr>
      </w:pPr>
      <w:r>
        <w:t xml:space="preserve">La revisión arquitectónica sea aprobada.</w:t>
      </w:r>
    </w:p>
    <w:p>
      <w:r>
        <w:pict>
          <v:rect style="width:0;height:1.5pt" o:hralign="center" o:hrstd="t" o:hr="t"/>
        </w:pict>
      </w:r>
    </w:p>
    <w:bookmarkEnd w:id="46"/>
    <w:bookmarkStart w:id="47" w:name="checklist-arquitectónico"/>
    <w:p>
      <w:pPr>
        <w:pStyle w:val="Heading1"/>
      </w:pPr>
      <w:r>
        <w:t xml:space="preserve">Checklist Arquitectónico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23"/>
        </w:numPr>
      </w:pPr>
      <w:r>
        <w:t xml:space="preserve">Clean Architecture.</w:t>
      </w:r>
    </w:p>
    <w:p>
      <w:pPr>
        <w:pStyle w:val="Compact"/>
        <w:numPr>
          <w:ilvl w:val="0"/>
          <w:numId w:val="1023"/>
        </w:numPr>
      </w:pPr>
      <w:r>
        <w:t xml:space="preserve">SOLID.</w:t>
      </w:r>
    </w:p>
    <w:p>
      <w:pPr>
        <w:pStyle w:val="Compact"/>
        <w:numPr>
          <w:ilvl w:val="0"/>
          <w:numId w:val="1023"/>
        </w:numPr>
      </w:pPr>
      <w:r>
        <w:t xml:space="preserve">Separación de responsabilidades.</w:t>
      </w:r>
    </w:p>
    <w:p>
      <w:pPr>
        <w:pStyle w:val="Compact"/>
        <w:numPr>
          <w:ilvl w:val="0"/>
          <w:numId w:val="1023"/>
        </w:numPr>
      </w:pPr>
      <w:r>
        <w:t xml:space="preserve">Event Driven.</w:t>
      </w:r>
    </w:p>
    <w:p>
      <w:pPr>
        <w:pStyle w:val="Compact"/>
        <w:numPr>
          <w:ilvl w:val="0"/>
          <w:numId w:val="1023"/>
        </w:numPr>
      </w:pPr>
      <w:r>
        <w:t xml:space="preserve">Seguridad.</w:t>
      </w:r>
    </w:p>
    <w:p>
      <w:pPr>
        <w:pStyle w:val="Compact"/>
        <w:numPr>
          <w:ilvl w:val="0"/>
          <w:numId w:val="1023"/>
        </w:numPr>
      </w:pPr>
      <w:r>
        <w:t xml:space="preserve">Logging.</w:t>
      </w:r>
    </w:p>
    <w:p>
      <w:pPr>
        <w:pStyle w:val="Compact"/>
        <w:numPr>
          <w:ilvl w:val="0"/>
          <w:numId w:val="1023"/>
        </w:numPr>
      </w:pPr>
      <w:r>
        <w:t xml:space="preserve">Observabilidad.</w:t>
      </w:r>
    </w:p>
    <w:p>
      <w:pPr>
        <w:pStyle w:val="Compact"/>
        <w:numPr>
          <w:ilvl w:val="0"/>
          <w:numId w:val="1023"/>
        </w:numPr>
      </w:pPr>
      <w:r>
        <w:t xml:space="preserve">Optimización Firestore.</w:t>
      </w:r>
    </w:p>
    <w:p>
      <w:r>
        <w:pict>
          <v:rect style="width:0;height:1.5pt" o:hralign="center" o:hrstd="t" o:hr="t"/>
        </w:pict>
      </w:r>
    </w:p>
    <w:bookmarkEnd w:id="47"/>
    <w:bookmarkStart w:id="48" w:name="checklist-de-código"/>
    <w:p>
      <w:pPr>
        <w:pStyle w:val="Heading1"/>
      </w:pPr>
      <w:r>
        <w:t xml:space="preserve">Checklist de Código</w:t>
      </w:r>
    </w:p>
    <w:p>
      <w:pPr>
        <w:pStyle w:val="FirstParagraph"/>
      </w:pPr>
      <w:r>
        <w:t xml:space="preserve">Revisar:</w:t>
      </w:r>
    </w:p>
    <w:p>
      <w:pPr>
        <w:pStyle w:val="Compact"/>
        <w:numPr>
          <w:ilvl w:val="0"/>
          <w:numId w:val="1024"/>
        </w:numPr>
      </w:pPr>
      <w:r>
        <w:t xml:space="preserve">Tipado estricto.</w:t>
      </w:r>
    </w:p>
    <w:p>
      <w:pPr>
        <w:pStyle w:val="Compact"/>
        <w:numPr>
          <w:ilvl w:val="0"/>
          <w:numId w:val="1024"/>
        </w:numPr>
      </w:pPr>
      <w:r>
        <w:t xml:space="preserve">Legibilidad.</w:t>
      </w:r>
    </w:p>
    <w:p>
      <w:pPr>
        <w:pStyle w:val="Compact"/>
        <w:numPr>
          <w:ilvl w:val="0"/>
          <w:numId w:val="1024"/>
        </w:numPr>
      </w:pPr>
      <w:r>
        <w:t xml:space="preserve">Reutilización.</w:t>
      </w:r>
    </w:p>
    <w:p>
      <w:pPr>
        <w:pStyle w:val="Compact"/>
        <w:numPr>
          <w:ilvl w:val="0"/>
          <w:numId w:val="1024"/>
        </w:numPr>
      </w:pPr>
      <w:r>
        <w:t xml:space="preserve">Ausencia de duplicación.</w:t>
      </w:r>
    </w:p>
    <w:p>
      <w:pPr>
        <w:pStyle w:val="Compact"/>
        <w:numPr>
          <w:ilvl w:val="0"/>
          <w:numId w:val="1024"/>
        </w:numPr>
      </w:pPr>
      <w:r>
        <w:t xml:space="preserve">Cobertura de pruebas.</w:t>
      </w:r>
    </w:p>
    <w:p>
      <w:pPr>
        <w:pStyle w:val="Compact"/>
        <w:numPr>
          <w:ilvl w:val="0"/>
          <w:numId w:val="1024"/>
        </w:numPr>
      </w:pPr>
      <w:r>
        <w:t xml:space="preserve">Documentación pública.</w:t>
      </w:r>
    </w:p>
    <w:p>
      <w:r>
        <w:pict>
          <v:rect style="width:0;height:1.5pt" o:hralign="center" o:hrstd="t" o:hr="t"/>
        </w:pict>
      </w:r>
    </w:p>
    <w:bookmarkEnd w:id="48"/>
    <w:bookmarkStart w:id="49" w:name="checklist-de-rendimiento"/>
    <w:p>
      <w:pPr>
        <w:pStyle w:val="Heading1"/>
      </w:pPr>
      <w:r>
        <w:t xml:space="preserve">Checklist de Rendimiento</w:t>
      </w:r>
    </w:p>
    <w:p>
      <w:pPr>
        <w:pStyle w:val="FirstParagraph"/>
      </w:pPr>
      <w:r>
        <w:t xml:space="preserve">Comprobar:</w:t>
      </w:r>
    </w:p>
    <w:p>
      <w:pPr>
        <w:pStyle w:val="Compact"/>
        <w:numPr>
          <w:ilvl w:val="0"/>
          <w:numId w:val="1025"/>
        </w:numPr>
      </w:pPr>
      <w:r>
        <w:t xml:space="preserve">Consultas optimizadas.</w:t>
      </w:r>
    </w:p>
    <w:p>
      <w:pPr>
        <w:pStyle w:val="Compact"/>
        <w:numPr>
          <w:ilvl w:val="0"/>
          <w:numId w:val="1025"/>
        </w:numPr>
      </w:pPr>
      <w:r>
        <w:t xml:space="preserve">Índices adecuados.</w:t>
      </w:r>
    </w:p>
    <w:p>
      <w:pPr>
        <w:pStyle w:val="Compact"/>
        <w:numPr>
          <w:ilvl w:val="0"/>
          <w:numId w:val="1025"/>
        </w:numPr>
      </w:pPr>
      <w:r>
        <w:t xml:space="preserve">Renderizados controlados.</w:t>
      </w:r>
    </w:p>
    <w:p>
      <w:pPr>
        <w:pStyle w:val="Compact"/>
        <w:numPr>
          <w:ilvl w:val="0"/>
          <w:numId w:val="1025"/>
        </w:numPr>
      </w:pPr>
      <w:r>
        <w:t xml:space="preserve">Uso eficiente de caché.</w:t>
      </w:r>
    </w:p>
    <w:p>
      <w:pPr>
        <w:pStyle w:val="Compact"/>
        <w:numPr>
          <w:ilvl w:val="0"/>
          <w:numId w:val="1025"/>
        </w:numPr>
      </w:pPr>
      <w:r>
        <w:t xml:space="preserve">Carga progresiva del Workspace.</w:t>
      </w:r>
    </w:p>
    <w:p>
      <w:r>
        <w:pict>
          <v:rect style="width:0;height:1.5pt" o:hralign="center" o:hrstd="t" o:hr="t"/>
        </w:pict>
      </w:r>
    </w:p>
    <w:bookmarkEnd w:id="49"/>
    <w:bookmarkStart w:id="50" w:name="checklist-de-seguridad"/>
    <w:p>
      <w:pPr>
        <w:pStyle w:val="Heading1"/>
      </w:pPr>
      <w:r>
        <w:t xml:space="preserve">Checklist de Seguridad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26"/>
        </w:numPr>
      </w:pPr>
      <w:r>
        <w:t xml:space="preserve">Security Rules.</w:t>
      </w:r>
    </w:p>
    <w:p>
      <w:pPr>
        <w:pStyle w:val="Compact"/>
        <w:numPr>
          <w:ilvl w:val="0"/>
          <w:numId w:val="1026"/>
        </w:numPr>
      </w:pPr>
      <w:r>
        <w:t xml:space="preserve">Cloud Functions.</w:t>
      </w:r>
    </w:p>
    <w:p>
      <w:pPr>
        <w:pStyle w:val="Compact"/>
        <w:numPr>
          <w:ilvl w:val="0"/>
          <w:numId w:val="1026"/>
        </w:numPr>
      </w:pPr>
      <w:r>
        <w:t xml:space="preserve">Permisos.</w:t>
      </w:r>
    </w:p>
    <w:p>
      <w:pPr>
        <w:pStyle w:val="Compact"/>
        <w:numPr>
          <w:ilvl w:val="0"/>
          <w:numId w:val="1026"/>
        </w:numPr>
      </w:pPr>
      <w:r>
        <w:t xml:space="preserve">Multi-Tenant.</w:t>
      </w:r>
    </w:p>
    <w:p>
      <w:pPr>
        <w:pStyle w:val="Compact"/>
        <w:numPr>
          <w:ilvl w:val="0"/>
          <w:numId w:val="1026"/>
        </w:numPr>
      </w:pPr>
      <w:r>
        <w:t xml:space="preserve">Protección de campos críticos.</w:t>
      </w:r>
    </w:p>
    <w:p>
      <w:r>
        <w:pict>
          <v:rect style="width:0;height:1.5pt" o:hralign="center" o:hrstd="t" o:hr="t"/>
        </w:pict>
      </w:r>
    </w:p>
    <w:bookmarkEnd w:id="50"/>
    <w:bookmarkStart w:id="51" w:name="entregables"/>
    <w:p>
      <w:pPr>
        <w:pStyle w:val="Heading1"/>
      </w:pPr>
      <w:r>
        <w:t xml:space="preserve">Entregables</w:t>
      </w:r>
    </w:p>
    <w:p>
      <w:pPr>
        <w:pStyle w:val="FirstParagraph"/>
      </w:pPr>
      <w:r>
        <w:t xml:space="preserve">Antigravity deberá entregar:</w:t>
      </w:r>
    </w:p>
    <w:p>
      <w:pPr>
        <w:pStyle w:val="Compact"/>
        <w:numPr>
          <w:ilvl w:val="0"/>
          <w:numId w:val="1027"/>
        </w:numPr>
      </w:pPr>
      <w:r>
        <w:t xml:space="preserve">Código fuente.</w:t>
      </w:r>
    </w:p>
    <w:p>
      <w:pPr>
        <w:pStyle w:val="Compact"/>
        <w:numPr>
          <w:ilvl w:val="0"/>
          <w:numId w:val="1027"/>
        </w:numPr>
      </w:pPr>
      <w:r>
        <w:t xml:space="preserve">Pruebas automatizadas.</w:t>
      </w:r>
    </w:p>
    <w:p>
      <w:pPr>
        <w:pStyle w:val="Compact"/>
        <w:numPr>
          <w:ilvl w:val="0"/>
          <w:numId w:val="1027"/>
        </w:numPr>
      </w:pPr>
      <w:r>
        <w:t xml:space="preserve">Informe de cobertura.</w:t>
      </w:r>
    </w:p>
    <w:p>
      <w:pPr>
        <w:pStyle w:val="Compact"/>
        <w:numPr>
          <w:ilvl w:val="0"/>
          <w:numId w:val="1027"/>
        </w:numPr>
      </w:pPr>
      <w:r>
        <w:t xml:space="preserve">Registro de decisiones técnicas.</w:t>
      </w:r>
    </w:p>
    <w:p>
      <w:pPr>
        <w:pStyle w:val="Compact"/>
        <w:numPr>
          <w:ilvl w:val="0"/>
          <w:numId w:val="1027"/>
        </w:numPr>
      </w:pPr>
      <w:r>
        <w:t xml:space="preserve">Evidencias de ejecución de pruebas.</w:t>
      </w:r>
    </w:p>
    <w:p>
      <w:r>
        <w:pict>
          <v:rect style="width:0;height:1.5pt" o:hralign="center" o:hrstd="t" o:hr="t"/>
        </w:pict>
      </w:r>
    </w:p>
    <w:bookmarkEnd w:id="51"/>
    <w:bookmarkStart w:id="52" w:name="criterios-de-aceptación"/>
    <w:p>
      <w:pPr>
        <w:pStyle w:val="Heading1"/>
      </w:pPr>
      <w:r>
        <w:t xml:space="preserve">Criterios de Aceptación</w:t>
      </w:r>
    </w:p>
    <w:p>
      <w:pPr>
        <w:pStyle w:val="FirstParagraph"/>
      </w:pPr>
      <w:r>
        <w:t xml:space="preserve">El dominio será aceptado cuando:</w:t>
      </w:r>
    </w:p>
    <w:p>
      <w:pPr>
        <w:pStyle w:val="Compact"/>
        <w:numPr>
          <w:ilvl w:val="0"/>
          <w:numId w:val="1028"/>
        </w:numPr>
      </w:pPr>
      <w:r>
        <w:t xml:space="preserve">Todos los casos de uso estén implementados.</w:t>
      </w:r>
    </w:p>
    <w:p>
      <w:pPr>
        <w:pStyle w:val="Compact"/>
        <w:numPr>
          <w:ilvl w:val="0"/>
          <w:numId w:val="1028"/>
        </w:numPr>
      </w:pPr>
      <w:r>
        <w:t xml:space="preserve">La disponibilidad funcione correctamente.</w:t>
      </w:r>
    </w:p>
    <w:p>
      <w:pPr>
        <w:pStyle w:val="Compact"/>
        <w:numPr>
          <w:ilvl w:val="0"/>
          <w:numId w:val="1028"/>
        </w:numPr>
      </w:pPr>
      <w:r>
        <w:t xml:space="preserve">Las integraciones respeten los contratos.</w:t>
      </w:r>
    </w:p>
    <w:p>
      <w:pPr>
        <w:pStyle w:val="Compact"/>
        <w:numPr>
          <w:ilvl w:val="0"/>
          <w:numId w:val="1028"/>
        </w:numPr>
      </w:pPr>
      <w:r>
        <w:t xml:space="preserve">Se publiquen correctamente los eventos.</w:t>
      </w:r>
    </w:p>
    <w:p>
      <w:pPr>
        <w:pStyle w:val="Compact"/>
        <w:numPr>
          <w:ilvl w:val="0"/>
          <w:numId w:val="1028"/>
        </w:numPr>
      </w:pPr>
      <w:r>
        <w:t xml:space="preserve">Se cumplan todos los estándares definidos por la plataforma.</w:t>
      </w:r>
    </w:p>
    <w:p>
      <w:r>
        <w:pict>
          <v:rect style="width:0;height:1.5pt" o:hralign="center" o:hrstd="t" o:hr="t"/>
        </w:pict>
      </w:r>
    </w:p>
    <w:bookmarkEnd w:id="52"/>
    <w:bookmarkStart w:id="53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9"/>
        </w:numPr>
      </w:pPr>
      <w:r>
        <w:t xml:space="preserve">SPECIALIST001–SPECIALIST007</w:t>
      </w:r>
    </w:p>
    <w:p>
      <w:pPr>
        <w:pStyle w:val="Compact"/>
        <w:numPr>
          <w:ilvl w:val="0"/>
          <w:numId w:val="1029"/>
        </w:numPr>
      </w:pPr>
      <w:r>
        <w:t xml:space="preserve">A009–A012</w:t>
      </w:r>
    </w:p>
    <w:p>
      <w:pPr>
        <w:pStyle w:val="Compact"/>
        <w:numPr>
          <w:ilvl w:val="0"/>
          <w:numId w:val="1029"/>
        </w:numPr>
      </w:pPr>
      <w:r>
        <w:t xml:space="preserve">FB001–FB004</w:t>
      </w:r>
    </w:p>
    <w:p>
      <w:pPr>
        <w:pStyle w:val="Compact"/>
        <w:numPr>
          <w:ilvl w:val="0"/>
          <w:numId w:val="1029"/>
        </w:numPr>
      </w:pPr>
      <w:r>
        <w:t xml:space="preserve">UI001–UI005</w:t>
      </w:r>
    </w:p>
    <w:p>
      <w:pPr>
        <w:pStyle w:val="Compact"/>
        <w:numPr>
          <w:ilvl w:val="0"/>
          <w:numId w:val="1029"/>
        </w:numPr>
      </w:pPr>
      <w:r>
        <w:t xml:space="preserve">APP001–APP008</w:t>
      </w:r>
    </w:p>
    <w:p>
      <w:pPr>
        <w:pStyle w:val="Compact"/>
        <w:numPr>
          <w:ilvl w:val="0"/>
          <w:numId w:val="1029"/>
        </w:numPr>
      </w:pPr>
      <w:r>
        <w:t xml:space="preserve">TREATMENT001–TREATMENT008</w:t>
      </w:r>
    </w:p>
    <w:p>
      <w:r>
        <w:pict>
          <v:rect style="width:0;height:1.5pt" o:hralign="center" o:hrstd="t" o:hr="t"/>
        </w:pict>
      </w:r>
    </w:p>
    <w:bookmarkEnd w:id="53"/>
    <w:bookmarkStart w:id="54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para implementación por Antigravity.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2026-06-30T17:28:54Z</dcterms:created>
  <dcterms:modified xsi:type="dcterms:W3CDTF">2026-06-30T17:28:54Z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