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pecialist007-testing-strategy"/>
    <w:p>
      <w:pPr>
        <w:pStyle w:val="Heading1"/>
      </w:pPr>
      <w:r>
        <w:t xml:space="preserve">SPECIALIST007 — TESTING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pruebas para el dominio</w:t>
      </w:r>
      <w:r>
        <w:t xml:space="preserve"> </w:t>
      </w:r>
      <w:r>
        <w:rPr>
          <w:b/>
          <w:bCs/>
        </w:rPr>
        <w:t xml:space="preserve">Specialists</w:t>
      </w:r>
      <w:r>
        <w:t xml:space="preserve">, garantizando la correcta gestión de los profesionales, sus certificaciones, horarios, disponibilidad y relaciones con tratamientos.</w:t>
      </w:r>
    </w:p>
    <w:p>
      <w:pPr>
        <w:pStyle w:val="BodyText"/>
      </w:pPr>
      <w:r>
        <w:t xml:space="preserve">Este documento establece los criterios mínimos de calidad antes de aprobar cualquier implementación del dominio.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Pruebas unitarias.</w:t>
      </w:r>
    </w:p>
    <w:p>
      <w:pPr>
        <w:pStyle w:val="Compact"/>
        <w:numPr>
          <w:ilvl w:val="0"/>
          <w:numId w:val="1001"/>
        </w:numPr>
      </w:pPr>
      <w:r>
        <w:t xml:space="preserve">Pruebas de integración.</w:t>
      </w:r>
    </w:p>
    <w:p>
      <w:pPr>
        <w:pStyle w:val="Compact"/>
        <w:numPr>
          <w:ilvl w:val="0"/>
          <w:numId w:val="1001"/>
        </w:numPr>
      </w:pPr>
      <w:r>
        <w:t xml:space="preserve">Pruebas End-to-End.</w:t>
      </w:r>
    </w:p>
    <w:p>
      <w:pPr>
        <w:pStyle w:val="Compact"/>
        <w:numPr>
          <w:ilvl w:val="0"/>
          <w:numId w:val="1001"/>
        </w:numPr>
      </w:pPr>
      <w:r>
        <w:t xml:space="preserve">Pruebas de seguridad.</w:t>
      </w:r>
    </w:p>
    <w:p>
      <w:pPr>
        <w:pStyle w:val="Compact"/>
        <w:numPr>
          <w:ilvl w:val="0"/>
          <w:numId w:val="1001"/>
        </w:numPr>
      </w:pPr>
      <w:r>
        <w:t xml:space="preserve">Pruebas de rendimiento.</w:t>
      </w:r>
    </w:p>
    <w:p>
      <w:pPr>
        <w:pStyle w:val="Compact"/>
        <w:numPr>
          <w:ilvl w:val="0"/>
          <w:numId w:val="1001"/>
        </w:numPr>
      </w:pPr>
      <w:r>
        <w:t xml:space="preserve">Pruebas de disponibilidad.</w:t>
      </w:r>
    </w:p>
    <w:p>
      <w:pPr>
        <w:pStyle w:val="Compact"/>
        <w:numPr>
          <w:ilvl w:val="0"/>
          <w:numId w:val="1001"/>
        </w:numPr>
      </w:pPr>
      <w:r>
        <w:t xml:space="preserve">Validación de eventos.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prueba deberá ser:</w:t>
      </w:r>
    </w:p>
    <w:p>
      <w:pPr>
        <w:pStyle w:val="Compact"/>
        <w:numPr>
          <w:ilvl w:val="0"/>
          <w:numId w:val="1002"/>
        </w:numPr>
      </w:pPr>
      <w:r>
        <w:t xml:space="preserve">Automatizada.</w:t>
      </w:r>
    </w:p>
    <w:p>
      <w:pPr>
        <w:pStyle w:val="Compact"/>
        <w:numPr>
          <w:ilvl w:val="0"/>
          <w:numId w:val="1002"/>
        </w:numPr>
      </w:pPr>
      <w:r>
        <w:t xml:space="preserve">Repetible.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Compact"/>
        <w:numPr>
          <w:ilvl w:val="0"/>
          <w:numId w:val="1002"/>
        </w:numPr>
      </w:pPr>
      <w:r>
        <w:t xml:space="preserve">Ejecutable en Integración Continua (CI).</w:t>
      </w:r>
    </w:p>
    <w:p>
      <w:pPr>
        <w:pStyle w:val="FirstParagraph"/>
      </w:pPr>
      <w:r>
        <w:t xml:space="preserve">Las pruebas no deberán depender de datos reales.</w:t>
      </w:r>
    </w:p>
    <w:p>
      <w:r>
        <w:pict>
          <v:rect style="width:0;height:1.5pt" o:hralign="center" o:hrstd="t" o:hr="t"/>
        </w:pict>
      </w:r>
    </w:p>
    <w:bookmarkEnd w:id="24"/>
    <w:bookmarkStart w:id="25" w:name="pirámide-de-pruebas"/>
    <w:p>
      <w:pPr>
        <w:pStyle w:val="Heading1"/>
      </w:pPr>
      <w:r>
        <w:t xml:space="preserve">Pirámide de Pruebas</w:t>
      </w:r>
    </w:p>
    <w:p>
      <w:pPr>
        <w:pStyle w:val="SourceCode"/>
      </w:pPr>
      <w:r>
        <w:rPr>
          <w:rStyle w:val="VerbatimChar"/>
        </w:rPr>
        <w:t xml:space="preserve">              End-to-End</w:t>
      </w:r>
      <w:r>
        <w:br/>
      </w:r>
      <w:r>
        <w:rPr>
          <w:rStyle w:val="VerbatimChar"/>
        </w:rPr>
        <w:t xml:space="preserve">                   ▲</w:t>
      </w:r>
      <w:r>
        <w:br/>
      </w:r>
      <w:r>
        <w:rPr>
          <w:rStyle w:val="VerbatimChar"/>
        </w:rPr>
        <w:t xml:space="preserve">            Integración</w:t>
      </w:r>
      <w:r>
        <w:br/>
      </w:r>
      <w:r>
        <w:rPr>
          <w:rStyle w:val="VerbatimChar"/>
        </w:rPr>
        <w:t xml:space="preserve">                   ▲</w:t>
      </w:r>
      <w:r>
        <w:br/>
      </w:r>
      <w:r>
        <w:rPr>
          <w:rStyle w:val="VerbatimChar"/>
        </w:rPr>
        <w:t xml:space="preserve">             Unitarias</w:t>
      </w:r>
    </w:p>
    <w:p>
      <w:pPr>
        <w:pStyle w:val="FirstParagraph"/>
      </w:pPr>
      <w:r>
        <w:t xml:space="preserve">El mayor número de pruebas corresponderá al nivel unitario.</w:t>
      </w:r>
    </w:p>
    <w:p>
      <w:r>
        <w:pict>
          <v:rect style="width:0;height:1.5pt" o:hralign="center" o:hrstd="t" o:hr="t"/>
        </w:pict>
      </w:r>
    </w:p>
    <w:bookmarkEnd w:id="25"/>
    <w:bookmarkStart w:id="26" w:name="pruebas-unitarias"/>
    <w:p>
      <w:pPr>
        <w:pStyle w:val="Heading1"/>
      </w:pPr>
      <w:r>
        <w:t xml:space="preserve">Pruebas Unitarias</w:t>
      </w:r>
    </w:p>
    <w:p>
      <w:pPr>
        <w:pStyle w:val="FirstParagraph"/>
      </w:pPr>
      <w:r>
        <w:t xml:space="preserve">Se validarán:</w:t>
      </w:r>
    </w:p>
    <w:p>
      <w:pPr>
        <w:pStyle w:val="Compact"/>
        <w:numPr>
          <w:ilvl w:val="0"/>
          <w:numId w:val="1003"/>
        </w:numPr>
      </w:pPr>
      <w:r>
        <w:t xml:space="preserve">Entidad Specialist.</w:t>
      </w:r>
    </w:p>
    <w:p>
      <w:pPr>
        <w:pStyle w:val="Compact"/>
        <w:numPr>
          <w:ilvl w:val="0"/>
          <w:numId w:val="1003"/>
        </w:numPr>
      </w:pPr>
      <w:r>
        <w:t xml:space="preserve">Value Objects.</w:t>
      </w:r>
    </w:p>
    <w:p>
      <w:pPr>
        <w:pStyle w:val="Compact"/>
        <w:numPr>
          <w:ilvl w:val="0"/>
          <w:numId w:val="1003"/>
        </w:numPr>
      </w:pPr>
      <w:r>
        <w:t xml:space="preserve">Casos de uso.</w:t>
      </w:r>
    </w:p>
    <w:p>
      <w:pPr>
        <w:pStyle w:val="Compact"/>
        <w:numPr>
          <w:ilvl w:val="0"/>
          <w:numId w:val="1003"/>
        </w:numPr>
      </w:pPr>
      <w:r>
        <w:t xml:space="preserve">Validadores.</w:t>
      </w:r>
    </w:p>
    <w:p>
      <w:pPr>
        <w:pStyle w:val="Compact"/>
        <w:numPr>
          <w:ilvl w:val="0"/>
          <w:numId w:val="1003"/>
        </w:numPr>
      </w:pPr>
      <w:r>
        <w:t xml:space="preserve">Conversores.</w:t>
      </w:r>
    </w:p>
    <w:p>
      <w:pPr>
        <w:pStyle w:val="Compact"/>
        <w:numPr>
          <w:ilvl w:val="0"/>
          <w:numId w:val="1003"/>
        </w:numPr>
      </w:pPr>
      <w:r>
        <w:t xml:space="preserve">Mappers.</w:t>
      </w:r>
    </w:p>
    <w:p>
      <w:pPr>
        <w:pStyle w:val="Compact"/>
        <w:numPr>
          <w:ilvl w:val="0"/>
          <w:numId w:val="1003"/>
        </w:numPr>
      </w:pPr>
      <w:r>
        <w:t xml:space="preserve">Servicios de dominio.</w:t>
      </w:r>
    </w:p>
    <w:p>
      <w:r>
        <w:pict>
          <v:rect style="width:0;height:1.5pt" o:hralign="center" o:hrstd="t" o:hr="t"/>
        </w:pict>
      </w:r>
    </w:p>
    <w:bookmarkEnd w:id="26"/>
    <w:bookmarkStart w:id="27" w:name="casos-unitarios"/>
    <w:p>
      <w:pPr>
        <w:pStyle w:val="Heading1"/>
      </w:pPr>
      <w:r>
        <w:t xml:space="preserve">Casos Unitarios</w:t>
      </w:r>
    </w:p>
    <w:p>
      <w:pPr>
        <w:pStyle w:val="FirstParagraph"/>
      </w:pPr>
      <w:r>
        <w:t xml:space="preserve">Como mínimo deberán cubrir:</w:t>
      </w:r>
    </w:p>
    <w:p>
      <w:pPr>
        <w:pStyle w:val="Compact"/>
        <w:numPr>
          <w:ilvl w:val="0"/>
          <w:numId w:val="1004"/>
        </w:numPr>
      </w:pPr>
      <w:r>
        <w:t xml:space="preserve">Crear especialista.</w:t>
      </w:r>
    </w:p>
    <w:p>
      <w:pPr>
        <w:pStyle w:val="Compact"/>
        <w:numPr>
          <w:ilvl w:val="0"/>
          <w:numId w:val="1004"/>
        </w:numPr>
      </w:pPr>
      <w:r>
        <w:t xml:space="preserve">Actualizar especialista.</w:t>
      </w:r>
    </w:p>
    <w:p>
      <w:pPr>
        <w:pStyle w:val="Compact"/>
        <w:numPr>
          <w:ilvl w:val="0"/>
          <w:numId w:val="1004"/>
        </w:numPr>
      </w:pPr>
      <w:r>
        <w:t xml:space="preserve">Activar especialista.</w:t>
      </w:r>
    </w:p>
    <w:p>
      <w:pPr>
        <w:pStyle w:val="Compact"/>
        <w:numPr>
          <w:ilvl w:val="0"/>
          <w:numId w:val="1004"/>
        </w:numPr>
      </w:pPr>
      <w:r>
        <w:t xml:space="preserve">Suspender especialista.</w:t>
      </w:r>
    </w:p>
    <w:p>
      <w:pPr>
        <w:pStyle w:val="Compact"/>
        <w:numPr>
          <w:ilvl w:val="0"/>
          <w:numId w:val="1004"/>
        </w:numPr>
      </w:pPr>
      <w:r>
        <w:t xml:space="preserve">Archivar especialista.</w:t>
      </w:r>
    </w:p>
    <w:p>
      <w:pPr>
        <w:pStyle w:val="Compact"/>
        <w:numPr>
          <w:ilvl w:val="0"/>
          <w:numId w:val="1004"/>
        </w:numPr>
      </w:pPr>
      <w:r>
        <w:t xml:space="preserve">Registrar certificación.</w:t>
      </w:r>
    </w:p>
    <w:p>
      <w:pPr>
        <w:pStyle w:val="Compact"/>
        <w:numPr>
          <w:ilvl w:val="0"/>
          <w:numId w:val="1004"/>
        </w:numPr>
      </w:pPr>
      <w:r>
        <w:t xml:space="preserve">Renovar certificación.</w:t>
      </w:r>
    </w:p>
    <w:p>
      <w:pPr>
        <w:pStyle w:val="Compact"/>
        <w:numPr>
          <w:ilvl w:val="0"/>
          <w:numId w:val="1004"/>
        </w:numPr>
      </w:pPr>
      <w:r>
        <w:t xml:space="preserve">Registrar habilidad.</w:t>
      </w:r>
    </w:p>
    <w:p>
      <w:pPr>
        <w:pStyle w:val="Compact"/>
        <w:numPr>
          <w:ilvl w:val="0"/>
          <w:numId w:val="1004"/>
        </w:numPr>
      </w:pPr>
      <w:r>
        <w:t xml:space="preserve">Asignar tratamiento.</w:t>
      </w:r>
    </w:p>
    <w:p>
      <w:pPr>
        <w:pStyle w:val="Compact"/>
        <w:numPr>
          <w:ilvl w:val="0"/>
          <w:numId w:val="1004"/>
        </w:numPr>
      </w:pPr>
      <w:r>
        <w:t xml:space="preserve">Configurar horario.</w:t>
      </w:r>
    </w:p>
    <w:p>
      <w:pPr>
        <w:pStyle w:val="Compact"/>
        <w:numPr>
          <w:ilvl w:val="0"/>
          <w:numId w:val="1004"/>
        </w:numPr>
      </w:pPr>
      <w:r>
        <w:t xml:space="preserve">Registrar vacaciones.</w:t>
      </w:r>
    </w:p>
    <w:p>
      <w:pPr>
        <w:pStyle w:val="Compact"/>
        <w:numPr>
          <w:ilvl w:val="0"/>
          <w:numId w:val="1004"/>
        </w:numPr>
      </w:pPr>
      <w:r>
        <w:t xml:space="preserve">Registrar bloqueo.</w:t>
      </w:r>
    </w:p>
    <w:p>
      <w:pPr>
        <w:pStyle w:val="Compact"/>
        <w:numPr>
          <w:ilvl w:val="0"/>
          <w:numId w:val="1004"/>
        </w:numPr>
      </w:pPr>
      <w:r>
        <w:t xml:space="preserve">Consultar disponibilidad.</w:t>
      </w:r>
    </w:p>
    <w:p>
      <w:r>
        <w:pict>
          <v:rect style="width:0;height:1.5pt" o:hralign="center" o:hrstd="t" o:hr="t"/>
        </w:pict>
      </w:r>
    </w:p>
    <w:bookmarkEnd w:id="27"/>
    <w:bookmarkStart w:id="28" w:name="pruebas-de-integración"/>
    <w:p>
      <w:pPr>
        <w:pStyle w:val="Heading1"/>
      </w:pPr>
      <w:r>
        <w:t xml:space="preserve">Pruebas de Integración</w:t>
      </w:r>
    </w:p>
    <w:p>
      <w:pPr>
        <w:pStyle w:val="FirstParagraph"/>
      </w:pPr>
      <w:r>
        <w:t xml:space="preserve">Se ejecutarán mediante Firebase Emulator Suite.</w:t>
      </w:r>
    </w:p>
    <w:p>
      <w:pPr>
        <w:pStyle w:val="BodyText"/>
      </w:pPr>
      <w:r>
        <w:t xml:space="preserve">Escenarios mínimos:</w:t>
      </w:r>
    </w:p>
    <w:p>
      <w:pPr>
        <w:pStyle w:val="Compact"/>
        <w:numPr>
          <w:ilvl w:val="0"/>
          <w:numId w:val="1005"/>
        </w:numPr>
      </w:pPr>
      <w:r>
        <w:t xml:space="preserve">Crear especialista.</w:t>
      </w:r>
    </w:p>
    <w:p>
      <w:pPr>
        <w:pStyle w:val="Compact"/>
        <w:numPr>
          <w:ilvl w:val="0"/>
          <w:numId w:val="1005"/>
        </w:numPr>
      </w:pPr>
      <w:r>
        <w:t xml:space="preserve">Actualizar información.</w:t>
      </w:r>
    </w:p>
    <w:p>
      <w:pPr>
        <w:pStyle w:val="Compact"/>
        <w:numPr>
          <w:ilvl w:val="0"/>
          <w:numId w:val="1005"/>
        </w:numPr>
      </w:pPr>
      <w:r>
        <w:t xml:space="preserve">Asociar tratamientos.</w:t>
      </w:r>
    </w:p>
    <w:p>
      <w:pPr>
        <w:pStyle w:val="Compact"/>
        <w:numPr>
          <w:ilvl w:val="0"/>
          <w:numId w:val="1005"/>
        </w:numPr>
      </w:pPr>
      <w:r>
        <w:t xml:space="preserve">Registrar certificaciones.</w:t>
      </w:r>
    </w:p>
    <w:p>
      <w:pPr>
        <w:pStyle w:val="Compact"/>
        <w:numPr>
          <w:ilvl w:val="0"/>
          <w:numId w:val="1005"/>
        </w:numPr>
      </w:pPr>
      <w:r>
        <w:t xml:space="preserve">Configurar horario.</w:t>
      </w:r>
    </w:p>
    <w:p>
      <w:pPr>
        <w:pStyle w:val="Compact"/>
        <w:numPr>
          <w:ilvl w:val="0"/>
          <w:numId w:val="1005"/>
        </w:numPr>
      </w:pPr>
      <w:r>
        <w:t xml:space="preserve">Registrar disponibilidad.</w:t>
      </w:r>
    </w:p>
    <w:p>
      <w:pPr>
        <w:pStyle w:val="Compact"/>
        <w:numPr>
          <w:ilvl w:val="0"/>
          <w:numId w:val="1005"/>
        </w:numPr>
      </w:pPr>
      <w:r>
        <w:t xml:space="preserve">Consultar especialistas.</w:t>
      </w:r>
    </w:p>
    <w:p>
      <w:r>
        <w:pict>
          <v:rect style="width:0;height:1.5pt" o:hralign="center" o:hrstd="t" o:hr="t"/>
        </w:pict>
      </w:r>
    </w:p>
    <w:bookmarkEnd w:id="28"/>
    <w:bookmarkStart w:id="29" w:name="pruebas-de-disponibilidad"/>
    <w:p>
      <w:pPr>
        <w:pStyle w:val="Heading1"/>
      </w:pPr>
      <w:r>
        <w:t xml:space="preserve">Pruebas de Disponibilidad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6"/>
        </w:numPr>
      </w:pPr>
      <w:r>
        <w:t xml:space="preserve">Horario laboral.</w:t>
      </w:r>
    </w:p>
    <w:p>
      <w:pPr>
        <w:pStyle w:val="Compact"/>
        <w:numPr>
          <w:ilvl w:val="0"/>
          <w:numId w:val="1006"/>
        </w:numPr>
      </w:pPr>
      <w:r>
        <w:t xml:space="preserve">Descansos.</w:t>
      </w:r>
    </w:p>
    <w:p>
      <w:pPr>
        <w:pStyle w:val="Compact"/>
        <w:numPr>
          <w:ilvl w:val="0"/>
          <w:numId w:val="1006"/>
        </w:numPr>
      </w:pPr>
      <w:r>
        <w:t xml:space="preserve">Vacaciones.</w:t>
      </w:r>
    </w:p>
    <w:p>
      <w:pPr>
        <w:pStyle w:val="Compact"/>
        <w:numPr>
          <w:ilvl w:val="0"/>
          <w:numId w:val="1006"/>
        </w:numPr>
      </w:pPr>
      <w:r>
        <w:t xml:space="preserve">Licencias.</w:t>
      </w:r>
    </w:p>
    <w:p>
      <w:pPr>
        <w:pStyle w:val="Compact"/>
        <w:numPr>
          <w:ilvl w:val="0"/>
          <w:numId w:val="1006"/>
        </w:numPr>
      </w:pPr>
      <w:r>
        <w:t xml:space="preserve">Bloqueos.</w:t>
      </w:r>
    </w:p>
    <w:p>
      <w:pPr>
        <w:pStyle w:val="Compact"/>
        <w:numPr>
          <w:ilvl w:val="0"/>
          <w:numId w:val="1006"/>
        </w:numPr>
      </w:pPr>
      <w:r>
        <w:t xml:space="preserve">Excepciones.</w:t>
      </w:r>
    </w:p>
    <w:p>
      <w:pPr>
        <w:pStyle w:val="FirstParagraph"/>
      </w:pPr>
      <w:r>
        <w:t xml:space="preserve">Estas pruebas verificarán únicamente la disponibilidad base del especialista.</w:t>
      </w:r>
    </w:p>
    <w:p>
      <w:pPr>
        <w:pStyle w:val="BodyText"/>
      </w:pPr>
      <w:r>
        <w:t xml:space="preserve">La ocupación por citas pertenece al dominio Appointments.</w:t>
      </w:r>
    </w:p>
    <w:p>
      <w:r>
        <w:pict>
          <v:rect style="width:0;height:1.5pt" o:hralign="center" o:hrstd="t" o:hr="t"/>
        </w:pict>
      </w:r>
    </w:p>
    <w:bookmarkEnd w:id="29"/>
    <w:bookmarkStart w:id="30" w:name="pruebas-end-to-end"/>
    <w:p>
      <w:pPr>
        <w:pStyle w:val="Heading1"/>
      </w:pPr>
      <w:r>
        <w:t xml:space="preserve">Pruebas End-to-End</w:t>
      </w:r>
    </w:p>
    <w:p>
      <w:pPr>
        <w:pStyle w:val="FirstParagraph"/>
      </w:pPr>
      <w:r>
        <w:t xml:space="preserve">Flujos completos:</w:t>
      </w:r>
    </w:p>
    <w:p>
      <w:pPr>
        <w:pStyle w:val="Compact"/>
        <w:numPr>
          <w:ilvl w:val="0"/>
          <w:numId w:val="1007"/>
        </w:numPr>
      </w:pPr>
      <w:r>
        <w:t xml:space="preserve">Crear especialista.</w:t>
      </w:r>
    </w:p>
    <w:p>
      <w:pPr>
        <w:pStyle w:val="Compact"/>
        <w:numPr>
          <w:ilvl w:val="0"/>
          <w:numId w:val="1007"/>
        </w:numPr>
      </w:pPr>
      <w:r>
        <w:t xml:space="preserve">Registrar certificaciones.</w:t>
      </w:r>
    </w:p>
    <w:p>
      <w:pPr>
        <w:pStyle w:val="Compact"/>
        <w:numPr>
          <w:ilvl w:val="0"/>
          <w:numId w:val="1007"/>
        </w:numPr>
      </w:pPr>
      <w:r>
        <w:t xml:space="preserve">Asignar tratamientos.</w:t>
      </w:r>
    </w:p>
    <w:p>
      <w:pPr>
        <w:pStyle w:val="Compact"/>
        <w:numPr>
          <w:ilvl w:val="0"/>
          <w:numId w:val="1007"/>
        </w:numPr>
      </w:pPr>
      <w:r>
        <w:t xml:space="preserve">Configurar horario.</w:t>
      </w:r>
    </w:p>
    <w:p>
      <w:pPr>
        <w:pStyle w:val="Compact"/>
        <w:numPr>
          <w:ilvl w:val="0"/>
          <w:numId w:val="1007"/>
        </w:numPr>
      </w:pPr>
      <w:r>
        <w:t xml:space="preserve">Registrar vacaciones.</w:t>
      </w:r>
    </w:p>
    <w:p>
      <w:pPr>
        <w:pStyle w:val="Compact"/>
        <w:numPr>
          <w:ilvl w:val="0"/>
          <w:numId w:val="1007"/>
        </w:numPr>
      </w:pPr>
      <w:r>
        <w:t xml:space="preserve">Consultar disponibilidad desde la interfaz.</w:t>
      </w:r>
    </w:p>
    <w:p>
      <w:pPr>
        <w:pStyle w:val="FirstParagraph"/>
      </w:pPr>
      <w:r>
        <w:t xml:space="preserve">También deberán probarse:</w:t>
      </w:r>
    </w:p>
    <w:p>
      <w:pPr>
        <w:pStyle w:val="Compact"/>
        <w:numPr>
          <w:ilvl w:val="0"/>
          <w:numId w:val="1008"/>
        </w:numPr>
      </w:pPr>
      <w:r>
        <w:t xml:space="preserve">Suspensión.</w:t>
      </w:r>
    </w:p>
    <w:p>
      <w:pPr>
        <w:pStyle w:val="Compact"/>
        <w:numPr>
          <w:ilvl w:val="0"/>
          <w:numId w:val="1008"/>
        </w:numPr>
      </w:pPr>
      <w:r>
        <w:t xml:space="preserve">Archivado.</w:t>
      </w:r>
    </w:p>
    <w:p>
      <w:pPr>
        <w:pStyle w:val="Compact"/>
        <w:numPr>
          <w:ilvl w:val="0"/>
          <w:numId w:val="1008"/>
        </w:numPr>
      </w:pPr>
      <w:r>
        <w:t xml:space="preserve">Reincorporación.</w:t>
      </w:r>
    </w:p>
    <w:p>
      <w:r>
        <w:pict>
          <v:rect style="width:0;height:1.5pt" o:hralign="center" o:hrstd="t" o:hr="t"/>
        </w:pict>
      </w:r>
    </w:p>
    <w:bookmarkEnd w:id="30"/>
    <w:bookmarkStart w:id="31" w:name="pruebas-de-seguridad"/>
    <w:p>
      <w:pPr>
        <w:pStyle w:val="Heading1"/>
      </w:pPr>
      <w:r>
        <w:t xml:space="preserve">Pruebas de Seguridad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9"/>
        </w:numPr>
      </w:pPr>
      <w:r>
        <w:t xml:space="preserve">Usuario sin autenticar.</w:t>
      </w:r>
    </w:p>
    <w:p>
      <w:pPr>
        <w:pStyle w:val="Compact"/>
        <w:numPr>
          <w:ilvl w:val="0"/>
          <w:numId w:val="1009"/>
        </w:numPr>
      </w:pPr>
      <w:r>
        <w:t xml:space="preserve">Organización incorrecta.</w:t>
      </w:r>
    </w:p>
    <w:p>
      <w:pPr>
        <w:pStyle w:val="Compact"/>
        <w:numPr>
          <w:ilvl w:val="0"/>
          <w:numId w:val="1009"/>
        </w:numPr>
      </w:pPr>
      <w:r>
        <w:t xml:space="preserve">Permisos insuficientes.</w:t>
      </w:r>
    </w:p>
    <w:p>
      <w:pPr>
        <w:pStyle w:val="Compact"/>
        <w:numPr>
          <w:ilvl w:val="0"/>
          <w:numId w:val="1009"/>
        </w:numPr>
      </w:pPr>
      <w:r>
        <w:t xml:space="preserve">Escrituras directas.</w:t>
      </w:r>
    </w:p>
    <w:p>
      <w:pPr>
        <w:pStyle w:val="Compact"/>
        <w:numPr>
          <w:ilvl w:val="0"/>
          <w:numId w:val="1009"/>
        </w:numPr>
      </w:pPr>
      <w:r>
        <w:t xml:space="preserve">Acceso entre organizaciones.</w:t>
      </w:r>
    </w:p>
    <w:p>
      <w:pPr>
        <w:pStyle w:val="Compact"/>
        <w:numPr>
          <w:ilvl w:val="0"/>
          <w:numId w:val="1009"/>
        </w:numPr>
      </w:pPr>
      <w:r>
        <w:t xml:space="preserve">Modificación de campos protegidos.</w:t>
      </w:r>
    </w:p>
    <w:p>
      <w:r>
        <w:pict>
          <v:rect style="width:0;height:1.5pt" o:hralign="center" o:hrstd="t" o:hr="t"/>
        </w:pict>
      </w:r>
    </w:p>
    <w:bookmarkEnd w:id="31"/>
    <w:bookmarkStart w:id="32" w:name="pruebas-de-rendimiento"/>
    <w:p>
      <w:pPr>
        <w:pStyle w:val="Heading1"/>
      </w:pPr>
      <w:r>
        <w:t xml:space="preserve">Pruebas de Rendimiento</w:t>
      </w:r>
    </w:p>
    <w:p>
      <w:pPr>
        <w:pStyle w:val="FirstParagraph"/>
      </w:pPr>
      <w:r>
        <w:t xml:space="preserve">Se medirán:</w:t>
      </w:r>
    </w:p>
    <w:p>
      <w:pPr>
        <w:pStyle w:val="Compact"/>
        <w:numPr>
          <w:ilvl w:val="0"/>
          <w:numId w:val="1010"/>
        </w:numPr>
      </w:pPr>
      <w:r>
        <w:t xml:space="preserve">Consulta de especialistas.</w:t>
      </w:r>
    </w:p>
    <w:p>
      <w:pPr>
        <w:pStyle w:val="Compact"/>
        <w:numPr>
          <w:ilvl w:val="0"/>
          <w:numId w:val="1010"/>
        </w:numPr>
      </w:pPr>
      <w:r>
        <w:t xml:space="preserve">Búsquedas filtradas.</w:t>
      </w:r>
    </w:p>
    <w:p>
      <w:pPr>
        <w:pStyle w:val="Compact"/>
        <w:numPr>
          <w:ilvl w:val="0"/>
          <w:numId w:val="1010"/>
        </w:numPr>
      </w:pPr>
      <w:r>
        <w:t xml:space="preserve">Recuperación del perfil.</w:t>
      </w:r>
    </w:p>
    <w:p>
      <w:pPr>
        <w:pStyle w:val="Compact"/>
        <w:numPr>
          <w:ilvl w:val="0"/>
          <w:numId w:val="1010"/>
        </w:numPr>
      </w:pPr>
      <w:r>
        <w:t xml:space="preserve">Carga del Workspace.</w:t>
      </w:r>
    </w:p>
    <w:p>
      <w:pPr>
        <w:pStyle w:val="Compact"/>
        <w:numPr>
          <w:ilvl w:val="0"/>
          <w:numId w:val="1010"/>
        </w:numPr>
      </w:pPr>
      <w:r>
        <w:t xml:space="preserve">Consulta de disponibilidad.</w:t>
      </w:r>
    </w:p>
    <w:p>
      <w:pPr>
        <w:pStyle w:val="FirstParagraph"/>
      </w:pPr>
      <w:r>
        <w:t xml:space="preserve">Los resultados servirán para optimizar índices y consultas.</w:t>
      </w:r>
    </w:p>
    <w:p>
      <w:r>
        <w:pict>
          <v:rect style="width:0;height:1.5pt" o:hralign="center" o:hrstd="t" o:hr="t"/>
        </w:pict>
      </w:r>
    </w:p>
    <w:bookmarkEnd w:id="32"/>
    <w:bookmarkStart w:id="33" w:name="pruebas-de-observabilidad"/>
    <w:p>
      <w:pPr>
        <w:pStyle w:val="Heading1"/>
      </w:pPr>
      <w:r>
        <w:t xml:space="preserve">Pruebas de Observabilidad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1"/>
        </w:numPr>
      </w:pPr>
      <w:r>
        <w:t xml:space="preserve">Auditoría.</w:t>
      </w:r>
    </w:p>
    <w:p>
      <w:pPr>
        <w:pStyle w:val="Compact"/>
        <w:numPr>
          <w:ilvl w:val="0"/>
          <w:numId w:val="1011"/>
        </w:numPr>
      </w:pPr>
      <w:r>
        <w:t xml:space="preserve">Correlation ID.</w:t>
      </w:r>
    </w:p>
    <w:p>
      <w:pPr>
        <w:pStyle w:val="Compact"/>
        <w:numPr>
          <w:ilvl w:val="0"/>
          <w:numId w:val="1011"/>
        </w:numPr>
      </w:pPr>
      <w:r>
        <w:t xml:space="preserve">Publicación de eventos.</w:t>
      </w:r>
    </w:p>
    <w:p>
      <w:pPr>
        <w:pStyle w:val="Compact"/>
        <w:numPr>
          <w:ilvl w:val="0"/>
          <w:numId w:val="1011"/>
        </w:numPr>
      </w:pPr>
      <w:r>
        <w:t xml:space="preserve">Logs estructurados.</w:t>
      </w:r>
    </w:p>
    <w:p>
      <w:pPr>
        <w:pStyle w:val="Compact"/>
        <w:numPr>
          <w:ilvl w:val="0"/>
          <w:numId w:val="1011"/>
        </w:numPr>
      </w:pPr>
      <w:r>
        <w:t xml:space="preserve">Manejo de errores.</w:t>
      </w:r>
    </w:p>
    <w:p>
      <w:r>
        <w:pict>
          <v:rect style="width:0;height:1.5pt" o:hralign="center" o:hrstd="t" o:hr="t"/>
        </w:pict>
      </w:r>
    </w:p>
    <w:bookmarkEnd w:id="33"/>
    <w:bookmarkStart w:id="34" w:name="datos-de-prueba"/>
    <w:p>
      <w:pPr>
        <w:pStyle w:val="Heading1"/>
      </w:pPr>
      <w:r>
        <w:t xml:space="preserve">Datos de Prueba</w:t>
      </w:r>
    </w:p>
    <w:p>
      <w:pPr>
        <w:pStyle w:val="FirstParagraph"/>
      </w:pPr>
      <w:r>
        <w:t xml:space="preserve">Se utilizarán:</w:t>
      </w:r>
    </w:p>
    <w:p>
      <w:pPr>
        <w:pStyle w:val="Compact"/>
        <w:numPr>
          <w:ilvl w:val="0"/>
          <w:numId w:val="1012"/>
        </w:numPr>
      </w:pPr>
      <w:r>
        <w:t xml:space="preserve">Factories.</w:t>
      </w:r>
    </w:p>
    <w:p>
      <w:pPr>
        <w:pStyle w:val="Compact"/>
        <w:numPr>
          <w:ilvl w:val="0"/>
          <w:numId w:val="1012"/>
        </w:numPr>
      </w:pPr>
      <w:r>
        <w:t xml:space="preserve">Builders.</w:t>
      </w:r>
    </w:p>
    <w:p>
      <w:pPr>
        <w:pStyle w:val="Compact"/>
        <w:numPr>
          <w:ilvl w:val="0"/>
          <w:numId w:val="1012"/>
        </w:numPr>
      </w:pPr>
      <w:r>
        <w:t xml:space="preserve">Fixtures.</w:t>
      </w:r>
    </w:p>
    <w:p>
      <w:pPr>
        <w:pStyle w:val="FirstParagraph"/>
      </w:pPr>
      <w:r>
        <w:t xml:space="preserve">Cubriendo escenarios con:</w:t>
      </w:r>
    </w:p>
    <w:p>
      <w:pPr>
        <w:pStyle w:val="Compact"/>
        <w:numPr>
          <w:ilvl w:val="0"/>
          <w:numId w:val="1013"/>
        </w:numPr>
      </w:pPr>
      <w:r>
        <w:t xml:space="preserve">Múltiples organizaciones.</w:t>
      </w:r>
    </w:p>
    <w:p>
      <w:pPr>
        <w:pStyle w:val="Compact"/>
        <w:numPr>
          <w:ilvl w:val="0"/>
          <w:numId w:val="1013"/>
        </w:numPr>
      </w:pPr>
      <w:r>
        <w:t xml:space="preserve">Especialidades distintas.</w:t>
      </w:r>
    </w:p>
    <w:p>
      <w:pPr>
        <w:pStyle w:val="Compact"/>
        <w:numPr>
          <w:ilvl w:val="0"/>
          <w:numId w:val="1013"/>
        </w:numPr>
      </w:pPr>
      <w:r>
        <w:t xml:space="preserve">Certificaciones vigentes y vencidas.</w:t>
      </w:r>
    </w:p>
    <w:p>
      <w:pPr>
        <w:pStyle w:val="Compact"/>
        <w:numPr>
          <w:ilvl w:val="0"/>
          <w:numId w:val="1013"/>
        </w:numPr>
      </w:pPr>
      <w:r>
        <w:t xml:space="preserve">Diferentes horarios.</w:t>
      </w:r>
    </w:p>
    <w:p>
      <w:pPr>
        <w:pStyle w:val="Compact"/>
        <w:numPr>
          <w:ilvl w:val="0"/>
          <w:numId w:val="1013"/>
        </w:numPr>
      </w:pPr>
      <w:r>
        <w:t xml:space="preserve">Varias habilidades.</w:t>
      </w:r>
    </w:p>
    <w:p>
      <w:pPr>
        <w:pStyle w:val="Compact"/>
        <w:numPr>
          <w:ilvl w:val="0"/>
          <w:numId w:val="1013"/>
        </w:numPr>
      </w:pPr>
      <w:r>
        <w:t xml:space="preserve">Tratamientos diversos.</w:t>
      </w:r>
    </w:p>
    <w:p>
      <w:r>
        <w:pict>
          <v:rect style="width:0;height:1.5pt" o:hralign="center" o:hrstd="t" o:hr="t"/>
        </w:pict>
      </w:r>
    </w:p>
    <w:bookmarkEnd w:id="34"/>
    <w:bookmarkStart w:id="35" w:name="automatización"/>
    <w:p>
      <w:pPr>
        <w:pStyle w:val="Heading1"/>
      </w:pPr>
      <w:r>
        <w:t xml:space="preserve">Automatización</w:t>
      </w:r>
    </w:p>
    <w:p>
      <w:pPr>
        <w:pStyle w:val="FirstParagraph"/>
      </w:pPr>
      <w:r>
        <w:t xml:space="preserve">Las pruebas deberán ejecutarse:</w:t>
      </w:r>
    </w:p>
    <w:p>
      <w:pPr>
        <w:pStyle w:val="Compact"/>
        <w:numPr>
          <w:ilvl w:val="0"/>
          <w:numId w:val="1014"/>
        </w:numPr>
      </w:pPr>
      <w:r>
        <w:t xml:space="preserve">En cada Pull Request.</w:t>
      </w:r>
    </w:p>
    <w:p>
      <w:pPr>
        <w:pStyle w:val="Compact"/>
        <w:numPr>
          <w:ilvl w:val="0"/>
          <w:numId w:val="1014"/>
        </w:numPr>
      </w:pPr>
      <w:r>
        <w:t xml:space="preserve">Antes de cada despliegue.</w:t>
      </w:r>
    </w:p>
    <w:p>
      <w:pPr>
        <w:pStyle w:val="Compact"/>
        <w:numPr>
          <w:ilvl w:val="0"/>
          <w:numId w:val="1014"/>
        </w:numPr>
      </w:pPr>
      <w:r>
        <w:t xml:space="preserve">En la Integración Continua.</w:t>
      </w:r>
    </w:p>
    <w:p>
      <w:pPr>
        <w:pStyle w:val="Compact"/>
        <w:numPr>
          <w:ilvl w:val="0"/>
          <w:numId w:val="1014"/>
        </w:numPr>
      </w:pPr>
      <w:r>
        <w:t xml:space="preserve">Antes de liberar una nueva versión.</w:t>
      </w:r>
    </w:p>
    <w:p>
      <w:pPr>
        <w:pStyle w:val="FirstParagraph"/>
      </w:pPr>
      <w:r>
        <w:t xml:space="preserve">Un fallo bloqueará la integración.</w:t>
      </w:r>
    </w:p>
    <w:p>
      <w:r>
        <w:pict>
          <v:rect style="width:0;height:1.5pt" o:hralign="center" o:hrstd="t" o:hr="t"/>
        </w:pict>
      </w:r>
    </w:p>
    <w:bookmarkEnd w:id="35"/>
    <w:bookmarkStart w:id="36" w:name="cobertura-objetivo"/>
    <w:p>
      <w:pPr>
        <w:pStyle w:val="Heading1"/>
      </w:pPr>
      <w:r>
        <w:t xml:space="preserve">Cobertura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80 %</w:t>
            </w:r>
          </w:p>
        </w:tc>
      </w:tr>
    </w:tbl>
    <w:p>
      <w:pPr>
        <w:pStyle w:val="BodyText"/>
      </w:pPr>
      <w:r>
        <w:t xml:space="preserve">La lógica de disponibilidad deberá mantener una cobertura especialmente alta por su impacto en la Agenda.</w:t>
      </w:r>
    </w:p>
    <w:p>
      <w:r>
        <w:pict>
          <v:rect style="width:0;height:1.5pt" o:hralign="center" o:hrstd="t" o:hr="t"/>
        </w:pict>
      </w:r>
    </w:p>
    <w:bookmarkEnd w:id="36"/>
    <w:bookmarkStart w:id="37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Disponibilidad incorrecta.</w:t>
      </w:r>
    </w:p>
    <w:p>
      <w:pPr>
        <w:pStyle w:val="Compact"/>
        <w:numPr>
          <w:ilvl w:val="0"/>
          <w:numId w:val="1015"/>
        </w:numPr>
      </w:pPr>
      <w:r>
        <w:t xml:space="preserve">Certificaciones inválidas.</w:t>
      </w:r>
    </w:p>
    <w:p>
      <w:pPr>
        <w:pStyle w:val="Compact"/>
        <w:numPr>
          <w:ilvl w:val="0"/>
          <w:numId w:val="1015"/>
        </w:numPr>
      </w:pPr>
      <w:r>
        <w:t xml:space="preserve">Asignaciones inconsistentes.</w:t>
      </w:r>
    </w:p>
    <w:p>
      <w:pPr>
        <w:pStyle w:val="Compact"/>
        <w:numPr>
          <w:ilvl w:val="0"/>
          <w:numId w:val="1015"/>
        </w:numPr>
      </w:pPr>
      <w:r>
        <w:t xml:space="preserve">Falta de sincronización con Treatments.</w:t>
      </w:r>
    </w:p>
    <w:p>
      <w:pPr>
        <w:pStyle w:val="Compact"/>
        <w:numPr>
          <w:ilvl w:val="0"/>
          <w:numId w:val="1015"/>
        </w:numPr>
      </w:pPr>
      <w:r>
        <w:t xml:space="preserve">Cobertura insuficiente.</w:t>
      </w:r>
    </w:p>
    <w:p>
      <w:pPr>
        <w:pStyle w:val="FirstParagraph"/>
      </w:pPr>
      <w:r>
        <w:t xml:space="preserve">Todos estos riesgos deberán revisarse antes de cada liberación.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Estrategia unitaria definida.</w:t>
      </w:r>
    </w:p>
    <w:p>
      <w:pPr>
        <w:pStyle w:val="Compact"/>
        <w:numPr>
          <w:ilvl w:val="0"/>
          <w:numId w:val="1016"/>
        </w:numPr>
      </w:pPr>
      <w:r>
        <w:t xml:space="preserve">Integración documentada.</w:t>
      </w:r>
    </w:p>
    <w:p>
      <w:pPr>
        <w:pStyle w:val="Compact"/>
        <w:numPr>
          <w:ilvl w:val="0"/>
          <w:numId w:val="1016"/>
        </w:numPr>
      </w:pPr>
      <w:r>
        <w:t xml:space="preserve">Disponibilidad validada.</w:t>
      </w:r>
    </w:p>
    <w:p>
      <w:pPr>
        <w:pStyle w:val="Compact"/>
        <w:numPr>
          <w:ilvl w:val="0"/>
          <w:numId w:val="1016"/>
        </w:numPr>
      </w:pPr>
      <w:r>
        <w:t xml:space="preserve">Seguridad contemplada.</w:t>
      </w:r>
    </w:p>
    <w:p>
      <w:pPr>
        <w:pStyle w:val="Compact"/>
        <w:numPr>
          <w:ilvl w:val="0"/>
          <w:numId w:val="1016"/>
        </w:numPr>
      </w:pPr>
      <w:r>
        <w:t xml:space="preserve">Automatización definida.</w:t>
      </w:r>
    </w:p>
    <w:p>
      <w:pPr>
        <w:pStyle w:val="Compact"/>
        <w:numPr>
          <w:ilvl w:val="0"/>
          <w:numId w:val="1016"/>
        </w:numPr>
      </w:pPr>
      <w:r>
        <w:t xml:space="preserve">Cobertura objetivo establecida.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SPECIALIST003_USE_CASES.md</w:t>
      </w:r>
    </w:p>
    <w:p>
      <w:pPr>
        <w:pStyle w:val="Compact"/>
        <w:numPr>
          <w:ilvl w:val="0"/>
          <w:numId w:val="1017"/>
        </w:numPr>
      </w:pPr>
      <w:r>
        <w:t xml:space="preserve">SPECIALIST005_CLOUD_FUNCTIONS_API_SPECIFICATION.md</w:t>
      </w:r>
    </w:p>
    <w:p>
      <w:pPr>
        <w:pStyle w:val="Compact"/>
        <w:numPr>
          <w:ilvl w:val="0"/>
          <w:numId w:val="1017"/>
        </w:numPr>
      </w:pPr>
      <w:r>
        <w:t xml:space="preserve">SPECIALIST006_FIRESTORE_SECURITY_RULES.md</w:t>
      </w:r>
    </w:p>
    <w:p>
      <w:pPr>
        <w:pStyle w:val="Compact"/>
        <w:numPr>
          <w:ilvl w:val="0"/>
          <w:numId w:val="1017"/>
        </w:numPr>
      </w:pPr>
      <w:r>
        <w:t xml:space="preserve">APP007_TESTING_STRATEGY.md</w:t>
      </w:r>
    </w:p>
    <w:p>
      <w:pPr>
        <w:pStyle w:val="Compact"/>
        <w:numPr>
          <w:ilvl w:val="0"/>
          <w:numId w:val="1017"/>
        </w:numPr>
      </w:pPr>
      <w:r>
        <w:t xml:space="preserve">A009_CONCURRENCY_AND_CONSISTENCY_STRATEGY.md</w:t>
      </w:r>
    </w:p>
    <w:p>
      <w:r>
        <w:pict>
          <v:rect style="width:0;height:1.5pt" o:hralign="center" o:hrstd="t" o:hr="t"/>
        </w:pict>
      </w:r>
    </w:p>
    <w:bookmarkEnd w:id="39"/>
    <w:bookmarkStart w:id="4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pruebas del dominio Specialists.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2026-06-30T17:28:26Z</dcterms:created>
  <dcterms:modified xsi:type="dcterms:W3CDTF">2026-06-30T17:28:26Z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