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treatment007-testing-strategy"/>
    <w:p>
      <w:pPr>
        <w:pStyle w:val="Heading1"/>
      </w:pPr>
      <w:r>
        <w:t xml:space="preserve">TREATMENT007 — TESTING STRATEGY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estrategia oficial de pruebas para el dominio</w:t>
      </w:r>
      <w:r>
        <w:t xml:space="preserve"> </w:t>
      </w:r>
      <w:r>
        <w:rPr>
          <w:b/>
          <w:bCs/>
        </w:rPr>
        <w:t xml:space="preserve">Treatments</w:t>
      </w:r>
      <w:r>
        <w:t xml:space="preserve">.</w:t>
      </w:r>
    </w:p>
    <w:p>
      <w:pPr>
        <w:pStyle w:val="BodyText"/>
      </w:pPr>
      <w:r>
        <w:t xml:space="preserve">El objetivo es garantizar la calidad, consistencia y estabilidad del catálogo de tratamientos y de sus integraciones con el resto de la plataforma.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Pruebas unitarias.</w:t>
      </w:r>
    </w:p>
    <w:p>
      <w:pPr>
        <w:pStyle w:val="Compact"/>
        <w:numPr>
          <w:ilvl w:val="0"/>
          <w:numId w:val="1001"/>
        </w:numPr>
      </w:pPr>
      <w:r>
        <w:t xml:space="preserve">Pruebas de integración.</w:t>
      </w:r>
    </w:p>
    <w:p>
      <w:pPr>
        <w:pStyle w:val="Compact"/>
        <w:numPr>
          <w:ilvl w:val="0"/>
          <w:numId w:val="1001"/>
        </w:numPr>
      </w:pPr>
      <w:r>
        <w:t xml:space="preserve">Pruebas End-to-End.</w:t>
      </w:r>
    </w:p>
    <w:p>
      <w:pPr>
        <w:pStyle w:val="Compact"/>
        <w:numPr>
          <w:ilvl w:val="0"/>
          <w:numId w:val="1001"/>
        </w:numPr>
      </w:pPr>
      <w:r>
        <w:t xml:space="preserve">Pruebas de seguridad.</w:t>
      </w:r>
    </w:p>
    <w:p>
      <w:pPr>
        <w:pStyle w:val="Compact"/>
        <w:numPr>
          <w:ilvl w:val="0"/>
          <w:numId w:val="1001"/>
        </w:numPr>
      </w:pPr>
      <w:r>
        <w:t xml:space="preserve">Pruebas de rendimiento.</w:t>
      </w:r>
    </w:p>
    <w:p>
      <w:pPr>
        <w:pStyle w:val="Compact"/>
        <w:numPr>
          <w:ilvl w:val="0"/>
          <w:numId w:val="1001"/>
        </w:numPr>
      </w:pPr>
      <w:r>
        <w:t xml:space="preserve">Validación de protocolos y variantes.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Toda prueba deberá ser:</w:t>
      </w:r>
    </w:p>
    <w:p>
      <w:pPr>
        <w:pStyle w:val="Compact"/>
        <w:numPr>
          <w:ilvl w:val="0"/>
          <w:numId w:val="1002"/>
        </w:numPr>
      </w:pPr>
      <w:r>
        <w:t xml:space="preserve">Automatizada.</w:t>
      </w:r>
    </w:p>
    <w:p>
      <w:pPr>
        <w:pStyle w:val="Compact"/>
        <w:numPr>
          <w:ilvl w:val="0"/>
          <w:numId w:val="1002"/>
        </w:numPr>
      </w:pPr>
      <w:r>
        <w:t xml:space="preserve">Repetible.</w:t>
      </w:r>
    </w:p>
    <w:p>
      <w:pPr>
        <w:pStyle w:val="Compact"/>
        <w:numPr>
          <w:ilvl w:val="0"/>
          <w:numId w:val="1002"/>
        </w:numPr>
      </w:pPr>
      <w:r>
        <w:t xml:space="preserve">Determinista.</w:t>
      </w:r>
    </w:p>
    <w:p>
      <w:pPr>
        <w:pStyle w:val="Compact"/>
        <w:numPr>
          <w:ilvl w:val="0"/>
          <w:numId w:val="1002"/>
        </w:numPr>
      </w:pPr>
      <w:r>
        <w:t xml:space="preserve">Independiente.</w:t>
      </w:r>
    </w:p>
    <w:p>
      <w:pPr>
        <w:pStyle w:val="Compact"/>
        <w:numPr>
          <w:ilvl w:val="0"/>
          <w:numId w:val="1002"/>
        </w:numPr>
      </w:pPr>
      <w:r>
        <w:t xml:space="preserve">Ejecutable en integración continua.</w:t>
      </w:r>
    </w:p>
    <w:p>
      <w:r>
        <w:pict>
          <v:rect style="width:0;height:1.5pt" o:hralign="center" o:hrstd="t" o:hr="t"/>
        </w:pict>
      </w:r>
    </w:p>
    <w:bookmarkEnd w:id="24"/>
    <w:bookmarkStart w:id="25" w:name="pirámide-de-pruebas"/>
    <w:p>
      <w:pPr>
        <w:pStyle w:val="Heading1"/>
      </w:pPr>
      <w:r>
        <w:t xml:space="preserve">Pirámide de Pruebas</w:t>
      </w:r>
    </w:p>
    <w:p>
      <w:pPr>
        <w:pStyle w:val="FirstParagraph"/>
      </w:pPr>
      <w:r>
        <w:rPr>
          <w:rStyle w:val="VerbatimChar"/>
        </w:rPr>
        <w:t xml:space="preserve">text id="treatment-testing-pyramid"             End-to-End                  ▲           Integración                  ▲            Unitarias</w:t>
      </w:r>
    </w:p>
    <w:p>
      <w:pPr>
        <w:pStyle w:val="BodyText"/>
      </w:pPr>
      <w:r>
        <w:t xml:space="preserve">La mayor parte de las pruebas corresponderá al nivel unitario.</w:t>
      </w:r>
    </w:p>
    <w:p>
      <w:r>
        <w:pict>
          <v:rect style="width:0;height:1.5pt" o:hralign="center" o:hrstd="t" o:hr="t"/>
        </w:pict>
      </w:r>
    </w:p>
    <w:bookmarkEnd w:id="25"/>
    <w:bookmarkStart w:id="27" w:name="pruebas-unitarias"/>
    <w:p>
      <w:pPr>
        <w:pStyle w:val="Heading1"/>
      </w:pPr>
      <w:r>
        <w:t xml:space="preserve">Pruebas Unitarias</w:t>
      </w:r>
    </w:p>
    <w:bookmarkStart w:id="26" w:name="cobertura"/>
    <w:p>
      <w:pPr>
        <w:pStyle w:val="Heading2"/>
      </w:pPr>
      <w:r>
        <w:t xml:space="preserve">Cobertura</w:t>
      </w:r>
    </w:p>
    <w:p>
      <w:pPr>
        <w:pStyle w:val="FirstParagraph"/>
      </w:pPr>
      <w:r>
        <w:t xml:space="preserve">Validar:</w:t>
      </w:r>
    </w:p>
    <w:p>
      <w:pPr>
        <w:pStyle w:val="Compact"/>
        <w:numPr>
          <w:ilvl w:val="0"/>
          <w:numId w:val="1003"/>
        </w:numPr>
      </w:pPr>
      <w:r>
        <w:t xml:space="preserve">Entidad Treatment.</w:t>
      </w:r>
    </w:p>
    <w:p>
      <w:pPr>
        <w:pStyle w:val="Compact"/>
        <w:numPr>
          <w:ilvl w:val="0"/>
          <w:numId w:val="1003"/>
        </w:numPr>
      </w:pPr>
      <w:r>
        <w:t xml:space="preserve">Value Objects.</w:t>
      </w:r>
    </w:p>
    <w:p>
      <w:pPr>
        <w:pStyle w:val="Compact"/>
        <w:numPr>
          <w:ilvl w:val="0"/>
          <w:numId w:val="1003"/>
        </w:numPr>
      </w:pPr>
      <w:r>
        <w:t xml:space="preserve">Casos de uso.</w:t>
      </w:r>
    </w:p>
    <w:p>
      <w:pPr>
        <w:pStyle w:val="Compact"/>
        <w:numPr>
          <w:ilvl w:val="0"/>
          <w:numId w:val="1003"/>
        </w:numPr>
      </w:pPr>
      <w:r>
        <w:t xml:space="preserve">Validadores.</w:t>
      </w:r>
    </w:p>
    <w:p>
      <w:pPr>
        <w:pStyle w:val="Compact"/>
        <w:numPr>
          <w:ilvl w:val="0"/>
          <w:numId w:val="1003"/>
        </w:numPr>
      </w:pPr>
      <w:r>
        <w:t xml:space="preserve">Conversores.</w:t>
      </w:r>
    </w:p>
    <w:p>
      <w:pPr>
        <w:pStyle w:val="Compact"/>
        <w:numPr>
          <w:ilvl w:val="0"/>
          <w:numId w:val="1003"/>
        </w:numPr>
      </w:pPr>
      <w:r>
        <w:t xml:space="preserve">Mappers.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asos-unitarios"/>
    <w:p>
      <w:pPr>
        <w:pStyle w:val="Heading1"/>
      </w:pPr>
      <w:r>
        <w:t xml:space="preserve">Casos Unitarios</w:t>
      </w:r>
    </w:p>
    <w:p>
      <w:pPr>
        <w:pStyle w:val="FirstParagraph"/>
      </w:pPr>
      <w:r>
        <w:t xml:space="preserve">Entre otros:</w:t>
      </w:r>
    </w:p>
    <w:p>
      <w:pPr>
        <w:pStyle w:val="Compact"/>
        <w:numPr>
          <w:ilvl w:val="0"/>
          <w:numId w:val="1004"/>
        </w:numPr>
      </w:pPr>
      <w:r>
        <w:t xml:space="preserve">Crear tratamiento.</w:t>
      </w:r>
    </w:p>
    <w:p>
      <w:pPr>
        <w:pStyle w:val="Compact"/>
        <w:numPr>
          <w:ilvl w:val="0"/>
          <w:numId w:val="1004"/>
        </w:numPr>
      </w:pPr>
      <w:r>
        <w:t xml:space="preserve">Detectar duplicados.</w:t>
      </w:r>
    </w:p>
    <w:p>
      <w:pPr>
        <w:pStyle w:val="Compact"/>
        <w:numPr>
          <w:ilvl w:val="0"/>
          <w:numId w:val="1004"/>
        </w:numPr>
      </w:pPr>
      <w:r>
        <w:t xml:space="preserve">Activar tratamiento.</w:t>
      </w:r>
    </w:p>
    <w:p>
      <w:pPr>
        <w:pStyle w:val="Compact"/>
        <w:numPr>
          <w:ilvl w:val="0"/>
          <w:numId w:val="1004"/>
        </w:numPr>
      </w:pPr>
      <w:r>
        <w:t xml:space="preserve">Desactivar tratamiento.</w:t>
      </w:r>
    </w:p>
    <w:p>
      <w:pPr>
        <w:pStyle w:val="Compact"/>
        <w:numPr>
          <w:ilvl w:val="0"/>
          <w:numId w:val="1004"/>
        </w:numPr>
      </w:pPr>
      <w:r>
        <w:t xml:space="preserve">Archivar tratamiento.</w:t>
      </w:r>
    </w:p>
    <w:p>
      <w:pPr>
        <w:pStyle w:val="Compact"/>
        <w:numPr>
          <w:ilvl w:val="0"/>
          <w:numId w:val="1004"/>
        </w:numPr>
      </w:pPr>
      <w:r>
        <w:t xml:space="preserve">Crear variante.</w:t>
      </w:r>
    </w:p>
    <w:p>
      <w:pPr>
        <w:pStyle w:val="Compact"/>
        <w:numPr>
          <w:ilvl w:val="0"/>
          <w:numId w:val="1004"/>
        </w:numPr>
      </w:pPr>
      <w:r>
        <w:t xml:space="preserve">Actualizar variante.</w:t>
      </w:r>
    </w:p>
    <w:p>
      <w:pPr>
        <w:pStyle w:val="Compact"/>
        <w:numPr>
          <w:ilvl w:val="0"/>
          <w:numId w:val="1004"/>
        </w:numPr>
      </w:pPr>
      <w:r>
        <w:t xml:space="preserve">Versionar protocolo.</w:t>
      </w:r>
    </w:p>
    <w:p>
      <w:pPr>
        <w:pStyle w:val="Compact"/>
        <w:numPr>
          <w:ilvl w:val="0"/>
          <w:numId w:val="1004"/>
        </w:numPr>
      </w:pPr>
      <w:r>
        <w:t xml:space="preserve">Asociar especialistas.</w:t>
      </w:r>
    </w:p>
    <w:p>
      <w:pPr>
        <w:pStyle w:val="Compact"/>
        <w:numPr>
          <w:ilvl w:val="0"/>
          <w:numId w:val="1004"/>
        </w:numPr>
      </w:pPr>
      <w:r>
        <w:t xml:space="preserve">Asociar productos.</w:t>
      </w:r>
    </w:p>
    <w:p>
      <w:r>
        <w:pict>
          <v:rect style="width:0;height:1.5pt" o:hralign="center" o:hrstd="t" o:hr="t"/>
        </w:pict>
      </w:r>
    </w:p>
    <w:bookmarkEnd w:id="28"/>
    <w:bookmarkStart w:id="29" w:name="versionado-de-protocolos"/>
    <w:p>
      <w:pPr>
        <w:pStyle w:val="Heading1"/>
      </w:pPr>
      <w:r>
        <w:t xml:space="preserve">Versionado de Protocolos</w:t>
      </w:r>
    </w:p>
    <w:p>
      <w:pPr>
        <w:pStyle w:val="FirstParagraph"/>
      </w:pPr>
      <w:r>
        <w:t xml:space="preserve">Se validará que:</w:t>
      </w:r>
    </w:p>
    <w:p>
      <w:pPr>
        <w:pStyle w:val="Compact"/>
        <w:numPr>
          <w:ilvl w:val="0"/>
          <w:numId w:val="1005"/>
        </w:numPr>
      </w:pPr>
      <w:r>
        <w:t xml:space="preserve">Cada nueva versión incremente correctamente el número de versión.</w:t>
      </w:r>
    </w:p>
    <w:p>
      <w:pPr>
        <w:pStyle w:val="Compact"/>
        <w:numPr>
          <w:ilvl w:val="0"/>
          <w:numId w:val="1005"/>
        </w:numPr>
      </w:pPr>
      <w:r>
        <w:t xml:space="preserve">Las versiones anteriores permanezcan disponibles.</w:t>
      </w:r>
    </w:p>
    <w:p>
      <w:pPr>
        <w:pStyle w:val="Compact"/>
        <w:numPr>
          <w:ilvl w:val="0"/>
          <w:numId w:val="1005"/>
        </w:numPr>
      </w:pPr>
      <w:r>
        <w:t xml:space="preserve">No se sobrescriba el historial.</w:t>
      </w:r>
    </w:p>
    <w:p>
      <w:r>
        <w:pict>
          <v:rect style="width:0;height:1.5pt" o:hralign="center" o:hrstd="t" o:hr="t"/>
        </w:pict>
      </w:r>
    </w:p>
    <w:bookmarkEnd w:id="29"/>
    <w:bookmarkStart w:id="30" w:name="pruebas-de-integración"/>
    <w:p>
      <w:pPr>
        <w:pStyle w:val="Heading1"/>
      </w:pPr>
      <w:r>
        <w:t xml:space="preserve">Pruebas de Integración</w:t>
      </w:r>
    </w:p>
    <w:p>
      <w:pPr>
        <w:pStyle w:val="FirstParagraph"/>
      </w:pPr>
      <w:r>
        <w:t xml:space="preserve">Se ejecutarán utilizando Firebase Emulator Suite.</w:t>
      </w:r>
    </w:p>
    <w:p>
      <w:pPr>
        <w:pStyle w:val="BodyText"/>
      </w:pPr>
      <w:r>
        <w:t xml:space="preserve">Escenarios mínimos:</w:t>
      </w:r>
    </w:p>
    <w:p>
      <w:pPr>
        <w:pStyle w:val="Compact"/>
        <w:numPr>
          <w:ilvl w:val="0"/>
          <w:numId w:val="1006"/>
        </w:numPr>
      </w:pPr>
      <w:r>
        <w:t xml:space="preserve">Crear tratamiento.</w:t>
      </w:r>
    </w:p>
    <w:p>
      <w:pPr>
        <w:pStyle w:val="Compact"/>
        <w:numPr>
          <w:ilvl w:val="0"/>
          <w:numId w:val="1006"/>
        </w:numPr>
      </w:pPr>
      <w:r>
        <w:t xml:space="preserve">Actualizar.</w:t>
      </w:r>
    </w:p>
    <w:p>
      <w:pPr>
        <w:pStyle w:val="Compact"/>
        <w:numPr>
          <w:ilvl w:val="0"/>
          <w:numId w:val="1006"/>
        </w:numPr>
      </w:pPr>
      <w:r>
        <w:t xml:space="preserve">Activar.</w:t>
      </w:r>
    </w:p>
    <w:p>
      <w:pPr>
        <w:pStyle w:val="Compact"/>
        <w:numPr>
          <w:ilvl w:val="0"/>
          <w:numId w:val="1006"/>
        </w:numPr>
      </w:pPr>
      <w:r>
        <w:t xml:space="preserve">Consultar catálogo.</w:t>
      </w:r>
    </w:p>
    <w:p>
      <w:pPr>
        <w:pStyle w:val="Compact"/>
        <w:numPr>
          <w:ilvl w:val="0"/>
          <w:numId w:val="1006"/>
        </w:numPr>
      </w:pPr>
      <w:r>
        <w:t xml:space="preserve">Gestionar variantes.</w:t>
      </w:r>
    </w:p>
    <w:p>
      <w:pPr>
        <w:pStyle w:val="Compact"/>
        <w:numPr>
          <w:ilvl w:val="0"/>
          <w:numId w:val="1006"/>
        </w:numPr>
      </w:pPr>
      <w:r>
        <w:t xml:space="preserve">Versionar protocolo.</w:t>
      </w:r>
    </w:p>
    <w:p>
      <w:r>
        <w:pict>
          <v:rect style="width:0;height:1.5pt" o:hralign="center" o:hrstd="t" o:hr="t"/>
        </w:pict>
      </w:r>
    </w:p>
    <w:bookmarkEnd w:id="30"/>
    <w:bookmarkStart w:id="31" w:name="pruebas-end-to-end"/>
    <w:p>
      <w:pPr>
        <w:pStyle w:val="Heading1"/>
      </w:pPr>
      <w:r>
        <w:t xml:space="preserve">Pruebas End-to-End</w:t>
      </w:r>
    </w:p>
    <w:p>
      <w:pPr>
        <w:pStyle w:val="FirstParagraph"/>
      </w:pPr>
      <w:r>
        <w:t xml:space="preserve">Flujos completos:</w:t>
      </w:r>
    </w:p>
    <w:p>
      <w:pPr>
        <w:pStyle w:val="Compact"/>
        <w:numPr>
          <w:ilvl w:val="0"/>
          <w:numId w:val="1007"/>
        </w:numPr>
      </w:pPr>
      <w:r>
        <w:t xml:space="preserve">Crear tratamiento.</w:t>
      </w:r>
    </w:p>
    <w:p>
      <w:pPr>
        <w:pStyle w:val="Compact"/>
        <w:numPr>
          <w:ilvl w:val="0"/>
          <w:numId w:val="1007"/>
        </w:numPr>
      </w:pPr>
      <w:r>
        <w:t xml:space="preserve">Crear variante.</w:t>
      </w:r>
    </w:p>
    <w:p>
      <w:pPr>
        <w:pStyle w:val="Compact"/>
        <w:numPr>
          <w:ilvl w:val="0"/>
          <w:numId w:val="1007"/>
        </w:numPr>
      </w:pPr>
      <w:r>
        <w:t xml:space="preserve">Activar tratamiento.</w:t>
      </w:r>
    </w:p>
    <w:p>
      <w:pPr>
        <w:pStyle w:val="Compact"/>
        <w:numPr>
          <w:ilvl w:val="0"/>
          <w:numId w:val="1007"/>
        </w:numPr>
      </w:pPr>
      <w:r>
        <w:t xml:space="preserve">Asociar especialistas.</w:t>
      </w:r>
    </w:p>
    <w:p>
      <w:pPr>
        <w:pStyle w:val="Compact"/>
        <w:numPr>
          <w:ilvl w:val="0"/>
          <w:numId w:val="1007"/>
        </w:numPr>
      </w:pPr>
      <w:r>
        <w:t xml:space="preserve">Asociar productos.</w:t>
      </w:r>
    </w:p>
    <w:p>
      <w:pPr>
        <w:pStyle w:val="Compact"/>
        <w:numPr>
          <w:ilvl w:val="0"/>
          <w:numId w:val="1007"/>
        </w:numPr>
      </w:pPr>
      <w:r>
        <w:t xml:space="preserve">Consultar desde el Workspace.</w:t>
      </w:r>
    </w:p>
    <w:p>
      <w:pPr>
        <w:pStyle w:val="FirstParagraph"/>
      </w:pPr>
      <w:r>
        <w:t xml:space="preserve">También deberán probarse:</w:t>
      </w:r>
    </w:p>
    <w:p>
      <w:pPr>
        <w:pStyle w:val="Compact"/>
        <w:numPr>
          <w:ilvl w:val="0"/>
          <w:numId w:val="1008"/>
        </w:numPr>
      </w:pPr>
      <w:r>
        <w:t xml:space="preserve">Desactivación.</w:t>
      </w:r>
    </w:p>
    <w:p>
      <w:pPr>
        <w:pStyle w:val="Compact"/>
        <w:numPr>
          <w:ilvl w:val="0"/>
          <w:numId w:val="1008"/>
        </w:numPr>
      </w:pPr>
      <w:r>
        <w:t xml:space="preserve">Archivado.</w:t>
      </w:r>
    </w:p>
    <w:p>
      <w:pPr>
        <w:pStyle w:val="Compact"/>
        <w:numPr>
          <w:ilvl w:val="0"/>
          <w:numId w:val="1008"/>
        </w:numPr>
      </w:pPr>
      <w:r>
        <w:t xml:space="preserve">Consulta del historial.</w:t>
      </w:r>
    </w:p>
    <w:p>
      <w:r>
        <w:pict>
          <v:rect style="width:0;height:1.5pt" o:hralign="center" o:hrstd="t" o:hr="t"/>
        </w:pict>
      </w:r>
    </w:p>
    <w:bookmarkEnd w:id="31"/>
    <w:bookmarkStart w:id="32" w:name="pruebas-de-seguridad"/>
    <w:p>
      <w:pPr>
        <w:pStyle w:val="Heading1"/>
      </w:pPr>
      <w:r>
        <w:t xml:space="preserve">Pruebas de Seguridad</w:t>
      </w:r>
    </w:p>
    <w:p>
      <w:pPr>
        <w:pStyle w:val="FirstParagraph"/>
      </w:pPr>
      <w:r>
        <w:t xml:space="preserve">Validar:</w:t>
      </w:r>
    </w:p>
    <w:p>
      <w:pPr>
        <w:pStyle w:val="Compact"/>
        <w:numPr>
          <w:ilvl w:val="0"/>
          <w:numId w:val="1009"/>
        </w:numPr>
      </w:pPr>
      <w:r>
        <w:t xml:space="preserve">Usuario sin autenticar.</w:t>
      </w:r>
    </w:p>
    <w:p>
      <w:pPr>
        <w:pStyle w:val="Compact"/>
        <w:numPr>
          <w:ilvl w:val="0"/>
          <w:numId w:val="1009"/>
        </w:numPr>
      </w:pPr>
      <w:r>
        <w:t xml:space="preserve">Organización incorrecta.</w:t>
      </w:r>
    </w:p>
    <w:p>
      <w:pPr>
        <w:pStyle w:val="Compact"/>
        <w:numPr>
          <w:ilvl w:val="0"/>
          <w:numId w:val="1009"/>
        </w:numPr>
      </w:pPr>
      <w:r>
        <w:t xml:space="preserve">Permisos insuficientes.</w:t>
      </w:r>
    </w:p>
    <w:p>
      <w:pPr>
        <w:pStyle w:val="Compact"/>
        <w:numPr>
          <w:ilvl w:val="0"/>
          <w:numId w:val="1009"/>
        </w:numPr>
      </w:pPr>
      <w:r>
        <w:t xml:space="preserve">Escrituras directas.</w:t>
      </w:r>
    </w:p>
    <w:p>
      <w:pPr>
        <w:pStyle w:val="Compact"/>
        <w:numPr>
          <w:ilvl w:val="0"/>
          <w:numId w:val="1009"/>
        </w:numPr>
      </w:pPr>
      <w:r>
        <w:t xml:space="preserve">Modificación de campos protegidos.</w:t>
      </w:r>
    </w:p>
    <w:p>
      <w:r>
        <w:pict>
          <v:rect style="width:0;height:1.5pt" o:hralign="center" o:hrstd="t" o:hr="t"/>
        </w:pict>
      </w:r>
    </w:p>
    <w:bookmarkEnd w:id="32"/>
    <w:bookmarkStart w:id="33" w:name="pruebas-de-rendimiento"/>
    <w:p>
      <w:pPr>
        <w:pStyle w:val="Heading1"/>
      </w:pPr>
      <w:r>
        <w:t xml:space="preserve">Pruebas de Rendimiento</w:t>
      </w:r>
    </w:p>
    <w:p>
      <w:pPr>
        <w:pStyle w:val="FirstParagraph"/>
      </w:pPr>
      <w:r>
        <w:t xml:space="preserve">Se medirán:</w:t>
      </w:r>
    </w:p>
    <w:p>
      <w:pPr>
        <w:pStyle w:val="Compact"/>
        <w:numPr>
          <w:ilvl w:val="0"/>
          <w:numId w:val="1010"/>
        </w:numPr>
      </w:pPr>
      <w:r>
        <w:t xml:space="preserve">Consulta del catálogo.</w:t>
      </w:r>
    </w:p>
    <w:p>
      <w:pPr>
        <w:pStyle w:val="Compact"/>
        <w:numPr>
          <w:ilvl w:val="0"/>
          <w:numId w:val="1010"/>
        </w:numPr>
      </w:pPr>
      <w:r>
        <w:t xml:space="preserve">Búsquedas filtradas.</w:t>
      </w:r>
    </w:p>
    <w:p>
      <w:pPr>
        <w:pStyle w:val="Compact"/>
        <w:numPr>
          <w:ilvl w:val="0"/>
          <w:numId w:val="1010"/>
        </w:numPr>
      </w:pPr>
      <w:r>
        <w:t xml:space="preserve">Carga del Workspace.</w:t>
      </w:r>
    </w:p>
    <w:p>
      <w:pPr>
        <w:pStyle w:val="Compact"/>
        <w:numPr>
          <w:ilvl w:val="0"/>
          <w:numId w:val="1010"/>
        </w:numPr>
      </w:pPr>
      <w:r>
        <w:t xml:space="preserve">Recuperación del protocolo.</w:t>
      </w:r>
    </w:p>
    <w:p>
      <w:pPr>
        <w:pStyle w:val="FirstParagraph"/>
      </w:pPr>
      <w:r>
        <w:t xml:space="preserve">Los resultados servirán para optimizar consultas e índices.</w:t>
      </w:r>
    </w:p>
    <w:p>
      <w:r>
        <w:pict>
          <v:rect style="width:0;height:1.5pt" o:hralign="center" o:hrstd="t" o:hr="t"/>
        </w:pict>
      </w:r>
    </w:p>
    <w:bookmarkEnd w:id="33"/>
    <w:bookmarkStart w:id="34" w:name="pruebas-de-observabilidad"/>
    <w:p>
      <w:pPr>
        <w:pStyle w:val="Heading1"/>
      </w:pPr>
      <w:r>
        <w:t xml:space="preserve">Pruebas de Observabilidad</w:t>
      </w:r>
    </w:p>
    <w:p>
      <w:pPr>
        <w:pStyle w:val="FirstParagraph"/>
      </w:pPr>
      <w:r>
        <w:t xml:space="preserve">Verificar:</w:t>
      </w:r>
    </w:p>
    <w:p>
      <w:pPr>
        <w:pStyle w:val="Compact"/>
        <w:numPr>
          <w:ilvl w:val="0"/>
          <w:numId w:val="1011"/>
        </w:numPr>
      </w:pPr>
      <w:r>
        <w:t xml:space="preserve">Registro de auditoría.</w:t>
      </w:r>
    </w:p>
    <w:p>
      <w:pPr>
        <w:pStyle w:val="Compact"/>
        <w:numPr>
          <w:ilvl w:val="0"/>
          <w:numId w:val="1011"/>
        </w:numPr>
      </w:pPr>
      <w:r>
        <w:t xml:space="preserve">Correlation ID.</w:t>
      </w:r>
    </w:p>
    <w:p>
      <w:pPr>
        <w:pStyle w:val="Compact"/>
        <w:numPr>
          <w:ilvl w:val="0"/>
          <w:numId w:val="1011"/>
        </w:numPr>
      </w:pPr>
      <w:r>
        <w:t xml:space="preserve">Eventos.</w:t>
      </w:r>
    </w:p>
    <w:p>
      <w:pPr>
        <w:pStyle w:val="Compact"/>
        <w:numPr>
          <w:ilvl w:val="0"/>
          <w:numId w:val="1011"/>
        </w:numPr>
      </w:pPr>
      <w:r>
        <w:t xml:space="preserve">Logs.</w:t>
      </w:r>
    </w:p>
    <w:p>
      <w:r>
        <w:pict>
          <v:rect style="width:0;height:1.5pt" o:hralign="center" o:hrstd="t" o:hr="t"/>
        </w:pict>
      </w:r>
    </w:p>
    <w:bookmarkEnd w:id="34"/>
    <w:bookmarkStart w:id="35" w:name="datos-de-prueba"/>
    <w:p>
      <w:pPr>
        <w:pStyle w:val="Heading1"/>
      </w:pPr>
      <w:r>
        <w:t xml:space="preserve">Datos de Prueba</w:t>
      </w:r>
    </w:p>
    <w:p>
      <w:pPr>
        <w:pStyle w:val="FirstParagraph"/>
      </w:pPr>
      <w:r>
        <w:t xml:space="preserve">Se utilizarán:</w:t>
      </w:r>
    </w:p>
    <w:p>
      <w:pPr>
        <w:pStyle w:val="Compact"/>
        <w:numPr>
          <w:ilvl w:val="0"/>
          <w:numId w:val="1012"/>
        </w:numPr>
      </w:pPr>
      <w:r>
        <w:t xml:space="preserve">Factories.</w:t>
      </w:r>
    </w:p>
    <w:p>
      <w:pPr>
        <w:pStyle w:val="Compact"/>
        <w:numPr>
          <w:ilvl w:val="0"/>
          <w:numId w:val="1012"/>
        </w:numPr>
      </w:pPr>
      <w:r>
        <w:t xml:space="preserve">Builders.</w:t>
      </w:r>
    </w:p>
    <w:p>
      <w:pPr>
        <w:pStyle w:val="Compact"/>
        <w:numPr>
          <w:ilvl w:val="0"/>
          <w:numId w:val="1012"/>
        </w:numPr>
      </w:pPr>
      <w:r>
        <w:t xml:space="preserve">Fixtures.</w:t>
      </w:r>
    </w:p>
    <w:p>
      <w:pPr>
        <w:pStyle w:val="FirstParagraph"/>
      </w:pPr>
      <w:r>
        <w:t xml:space="preserve">Los datos cubrirán:</w:t>
      </w:r>
    </w:p>
    <w:p>
      <w:pPr>
        <w:pStyle w:val="Compact"/>
        <w:numPr>
          <w:ilvl w:val="0"/>
          <w:numId w:val="1013"/>
        </w:numPr>
      </w:pPr>
      <w:r>
        <w:t xml:space="preserve">Múltiples categorías.</w:t>
      </w:r>
    </w:p>
    <w:p>
      <w:pPr>
        <w:pStyle w:val="Compact"/>
        <w:numPr>
          <w:ilvl w:val="0"/>
          <w:numId w:val="1013"/>
        </w:numPr>
      </w:pPr>
      <w:r>
        <w:t xml:space="preserve">Variantes.</w:t>
      </w:r>
    </w:p>
    <w:p>
      <w:pPr>
        <w:pStyle w:val="Compact"/>
        <w:numPr>
          <w:ilvl w:val="0"/>
          <w:numId w:val="1013"/>
        </w:numPr>
      </w:pPr>
      <w:r>
        <w:t xml:space="preserve">Especialistas.</w:t>
      </w:r>
    </w:p>
    <w:p>
      <w:pPr>
        <w:pStyle w:val="Compact"/>
        <w:numPr>
          <w:ilvl w:val="0"/>
          <w:numId w:val="1013"/>
        </w:numPr>
      </w:pPr>
      <w:r>
        <w:t xml:space="preserve">Productos relacionados.</w:t>
      </w:r>
    </w:p>
    <w:p>
      <w:pPr>
        <w:pStyle w:val="Compact"/>
        <w:numPr>
          <w:ilvl w:val="0"/>
          <w:numId w:val="1013"/>
        </w:numPr>
      </w:pPr>
      <w:r>
        <w:t xml:space="preserve">Diferentes organizaciones.</w:t>
      </w:r>
    </w:p>
    <w:p>
      <w:r>
        <w:pict>
          <v:rect style="width:0;height:1.5pt" o:hralign="center" o:hrstd="t" o:hr="t"/>
        </w:pict>
      </w:r>
    </w:p>
    <w:bookmarkEnd w:id="35"/>
    <w:bookmarkStart w:id="36" w:name="automatización"/>
    <w:p>
      <w:pPr>
        <w:pStyle w:val="Heading1"/>
      </w:pPr>
      <w:r>
        <w:t xml:space="preserve">Automatización</w:t>
      </w:r>
    </w:p>
    <w:p>
      <w:pPr>
        <w:pStyle w:val="FirstParagraph"/>
      </w:pPr>
      <w:r>
        <w:t xml:space="preserve">Las pruebas deberán ejecutarse:</w:t>
      </w:r>
    </w:p>
    <w:p>
      <w:pPr>
        <w:pStyle w:val="Compact"/>
        <w:numPr>
          <w:ilvl w:val="0"/>
          <w:numId w:val="1014"/>
        </w:numPr>
      </w:pPr>
      <w:r>
        <w:t xml:space="preserve">Antes de cada Pull Request.</w:t>
      </w:r>
    </w:p>
    <w:p>
      <w:pPr>
        <w:pStyle w:val="Compact"/>
        <w:numPr>
          <w:ilvl w:val="0"/>
          <w:numId w:val="1014"/>
        </w:numPr>
      </w:pPr>
      <w:r>
        <w:t xml:space="preserve">Antes de cada despliegue.</w:t>
      </w:r>
    </w:p>
    <w:p>
      <w:pPr>
        <w:pStyle w:val="Compact"/>
        <w:numPr>
          <w:ilvl w:val="0"/>
          <w:numId w:val="1014"/>
        </w:numPr>
      </w:pPr>
      <w:r>
        <w:t xml:space="preserve">En la integración continua.</w:t>
      </w:r>
    </w:p>
    <w:p>
      <w:pPr>
        <w:pStyle w:val="FirstParagraph"/>
      </w:pPr>
      <w:r>
        <w:t xml:space="preserve">Los fallos bloquearán la integración.</w:t>
      </w:r>
    </w:p>
    <w:p>
      <w:r>
        <w:pict>
          <v:rect style="width:0;height:1.5pt" o:hralign="center" o:hrstd="t" o:hr="t"/>
        </w:pict>
      </w:r>
    </w:p>
    <w:bookmarkEnd w:id="36"/>
    <w:bookmarkStart w:id="37" w:name="cobertura-objetivo"/>
    <w:p>
      <w:pPr>
        <w:pStyle w:val="Heading1"/>
      </w:pPr>
      <w:r>
        <w:t xml:space="preserve">Cobertura Objetivo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Cobertura mínima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de uso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Validadores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Versionado de protocolos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Functions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Componentes UI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80 %</w:t>
            </w:r>
          </w:p>
        </w:tc>
      </w:tr>
    </w:tbl>
    <w:p>
      <w:pPr>
        <w:pStyle w:val="BodyText"/>
      </w:pPr>
      <w:r>
        <w:t xml:space="preserve">El versionado requiere cobertura completa por su impacto en la operación.</w:t>
      </w:r>
    </w:p>
    <w:p>
      <w:r>
        <w:pict>
          <v:rect style="width:0;height:1.5pt" o:hralign="center" o:hrstd="t" o:hr="t"/>
        </w:pict>
      </w:r>
    </w:p>
    <w:bookmarkEnd w:id="37"/>
    <w:bookmarkStart w:id="38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5"/>
        </w:numPr>
      </w:pPr>
      <w:r>
        <w:t xml:space="preserve">Duplicación de tratamientos.</w:t>
      </w:r>
    </w:p>
    <w:p>
      <w:pPr>
        <w:pStyle w:val="Compact"/>
        <w:numPr>
          <w:ilvl w:val="0"/>
          <w:numId w:val="1015"/>
        </w:numPr>
      </w:pPr>
      <w:r>
        <w:t xml:space="preserve">Protocolos inconsistentes.</w:t>
      </w:r>
    </w:p>
    <w:p>
      <w:pPr>
        <w:pStyle w:val="Compact"/>
        <w:numPr>
          <w:ilvl w:val="0"/>
          <w:numId w:val="1015"/>
        </w:numPr>
      </w:pPr>
      <w:r>
        <w:t xml:space="preserve">Variantes sin validar.</w:t>
      </w:r>
    </w:p>
    <w:p>
      <w:pPr>
        <w:pStyle w:val="Compact"/>
        <w:numPr>
          <w:ilvl w:val="0"/>
          <w:numId w:val="1015"/>
        </w:numPr>
      </w:pPr>
      <w:r>
        <w:t xml:space="preserve">Cobertura insuficiente de integraciones.</w:t>
      </w:r>
    </w:p>
    <w:p>
      <w:pPr>
        <w:pStyle w:val="FirstParagraph"/>
      </w:pPr>
      <w:r>
        <w:t xml:space="preserve">Estos riesgos deberán revisarse antes de cada liberación.</w:t>
      </w:r>
    </w:p>
    <w:p>
      <w:r>
        <w:pict>
          <v:rect style="width:0;height:1.5pt" o:hralign="center" o:hrstd="t" o:hr="t"/>
        </w:pict>
      </w:r>
    </w:p>
    <w:bookmarkEnd w:id="38"/>
    <w:bookmarkStart w:id="39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6"/>
        </w:numPr>
      </w:pPr>
      <w:r>
        <w:t xml:space="preserve">Estrategia unitaria definida.</w:t>
      </w:r>
    </w:p>
    <w:p>
      <w:pPr>
        <w:pStyle w:val="Compact"/>
        <w:numPr>
          <w:ilvl w:val="0"/>
          <w:numId w:val="1016"/>
        </w:numPr>
      </w:pPr>
      <w:r>
        <w:t xml:space="preserve">Integración documentada.</w:t>
      </w:r>
    </w:p>
    <w:p>
      <w:pPr>
        <w:pStyle w:val="Compact"/>
        <w:numPr>
          <w:ilvl w:val="0"/>
          <w:numId w:val="1016"/>
        </w:numPr>
      </w:pPr>
      <w:r>
        <w:t xml:space="preserve">Versionado validado.</w:t>
      </w:r>
    </w:p>
    <w:p>
      <w:pPr>
        <w:pStyle w:val="Compact"/>
        <w:numPr>
          <w:ilvl w:val="0"/>
          <w:numId w:val="1016"/>
        </w:numPr>
      </w:pPr>
      <w:r>
        <w:t xml:space="preserve">Seguridad considerada.</w:t>
      </w:r>
    </w:p>
    <w:p>
      <w:pPr>
        <w:pStyle w:val="Compact"/>
        <w:numPr>
          <w:ilvl w:val="0"/>
          <w:numId w:val="1016"/>
        </w:numPr>
      </w:pPr>
      <w:r>
        <w:t xml:space="preserve">Automatización planificada.</w:t>
      </w:r>
    </w:p>
    <w:p>
      <w:pPr>
        <w:pStyle w:val="Compact"/>
        <w:numPr>
          <w:ilvl w:val="0"/>
          <w:numId w:val="1016"/>
        </w:numPr>
      </w:pPr>
      <w:r>
        <w:t xml:space="preserve">Cobertura objetivo definida.</w:t>
      </w:r>
    </w:p>
    <w:p>
      <w:r>
        <w:pict>
          <v:rect style="width:0;height:1.5pt" o:hralign="center" o:hrstd="t" o:hr="t"/>
        </w:pict>
      </w:r>
    </w:p>
    <w:bookmarkEnd w:id="39"/>
    <w:bookmarkStart w:id="40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7"/>
        </w:numPr>
      </w:pPr>
      <w:r>
        <w:t xml:space="preserve">TREATMENT003_TREATMENT_USE_CASES.md</w:t>
      </w:r>
    </w:p>
    <w:p>
      <w:pPr>
        <w:pStyle w:val="Compact"/>
        <w:numPr>
          <w:ilvl w:val="0"/>
          <w:numId w:val="1017"/>
        </w:numPr>
      </w:pPr>
      <w:r>
        <w:t xml:space="preserve">TREATMENT005_CLOUD_FUNCTIONS_API_SPECIFICATION.md</w:t>
      </w:r>
    </w:p>
    <w:p>
      <w:pPr>
        <w:pStyle w:val="Compact"/>
        <w:numPr>
          <w:ilvl w:val="0"/>
          <w:numId w:val="1017"/>
        </w:numPr>
      </w:pPr>
      <w:r>
        <w:t xml:space="preserve">TREATMENT006_FIRESTORE_SECURITY_RULES_SPECIFICATION.md</w:t>
      </w:r>
    </w:p>
    <w:p>
      <w:pPr>
        <w:pStyle w:val="Compact"/>
        <w:numPr>
          <w:ilvl w:val="0"/>
          <w:numId w:val="1017"/>
        </w:numPr>
      </w:pPr>
      <w:r>
        <w:t xml:space="preserve">FB003_CLOUD_FUNCTIONS_ARCHITECTURE.md</w:t>
      </w:r>
    </w:p>
    <w:p>
      <w:pPr>
        <w:pStyle w:val="Compact"/>
        <w:numPr>
          <w:ilvl w:val="0"/>
          <w:numId w:val="1017"/>
        </w:numPr>
      </w:pPr>
      <w:r>
        <w:t xml:space="preserve">CORE003_LOGGING_AND_OBSERVABILITY_ARCHITECTURE.md</w:t>
      </w:r>
    </w:p>
    <w:p>
      <w:r>
        <w:pict>
          <v:rect style="width:0;height:1.5pt" o:hralign="center" o:hrstd="t" o:hr="t"/>
        </w:pict>
      </w:r>
    </w:p>
    <w:bookmarkEnd w:id="40"/>
    <w:bookmarkStart w:id="41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estrategia oficial de pruebas del dominio Treatments.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2026-06-30T17:20:33Z</dcterms:created>
  <dcterms:modified xsi:type="dcterms:W3CDTF">2026-06-30T17:20:33Z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