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ustomer007-testing-strategy"/>
    <w:p>
      <w:pPr>
        <w:pStyle w:val="Heading1"/>
      </w:pPr>
      <w:r>
        <w:t xml:space="preserve">CUSTOMER007 — TESTING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pruebas para 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BodyText"/>
      </w:pPr>
      <w:r>
        <w:t xml:space="preserve">El objetivo es garantizar la calidad funcional, la seguridad y la estabilidad del dominio mediante pruebas automatizadas en distintos niveles.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Pruebas unitarias.</w:t>
      </w:r>
    </w:p>
    <w:p>
      <w:pPr>
        <w:pStyle w:val="Compact"/>
        <w:numPr>
          <w:ilvl w:val="0"/>
          <w:numId w:val="1001"/>
        </w:numPr>
      </w:pPr>
      <w:r>
        <w:t xml:space="preserve">Pruebas de integración.</w:t>
      </w:r>
    </w:p>
    <w:p>
      <w:pPr>
        <w:pStyle w:val="Compact"/>
        <w:numPr>
          <w:ilvl w:val="0"/>
          <w:numId w:val="1001"/>
        </w:numPr>
      </w:pPr>
      <w:r>
        <w:t xml:space="preserve">Pruebas End-to-End.</w:t>
      </w:r>
    </w:p>
    <w:p>
      <w:pPr>
        <w:pStyle w:val="Compact"/>
        <w:numPr>
          <w:ilvl w:val="0"/>
          <w:numId w:val="1001"/>
        </w:numPr>
      </w:pPr>
      <w:r>
        <w:t xml:space="preserve">Pruebas de seguridad.</w:t>
      </w:r>
    </w:p>
    <w:p>
      <w:pPr>
        <w:pStyle w:val="Compact"/>
        <w:numPr>
          <w:ilvl w:val="0"/>
          <w:numId w:val="1001"/>
        </w:numPr>
      </w:pPr>
      <w:r>
        <w:t xml:space="preserve">Pruebas de rendimiento.</w:t>
      </w:r>
    </w:p>
    <w:p>
      <w:pPr>
        <w:pStyle w:val="Compact"/>
        <w:numPr>
          <w:ilvl w:val="0"/>
          <w:numId w:val="1001"/>
        </w:numPr>
      </w:pPr>
      <w:r>
        <w:t xml:space="preserve">Criterios de aceptación.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prueba deberá ser:</w:t>
      </w:r>
    </w:p>
    <w:p>
      <w:pPr>
        <w:pStyle w:val="Compact"/>
        <w:numPr>
          <w:ilvl w:val="0"/>
          <w:numId w:val="1002"/>
        </w:numPr>
      </w:pPr>
      <w:r>
        <w:t xml:space="preserve">Automatizable.</w:t>
      </w:r>
    </w:p>
    <w:p>
      <w:pPr>
        <w:pStyle w:val="Compact"/>
        <w:numPr>
          <w:ilvl w:val="0"/>
          <w:numId w:val="1002"/>
        </w:numPr>
      </w:pPr>
      <w:r>
        <w:t xml:space="preserve">Repetible.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Rápida cuando sea posible.</w:t>
      </w:r>
    </w:p>
    <w:p>
      <w:pPr>
        <w:pStyle w:val="Compact"/>
        <w:numPr>
          <w:ilvl w:val="0"/>
          <w:numId w:val="1002"/>
        </w:numPr>
      </w:pPr>
      <w:r>
        <w:t xml:space="preserve">Fácil de mantener.</w:t>
      </w:r>
    </w:p>
    <w:p>
      <w:r>
        <w:pict>
          <v:rect style="width:0;height:1.5pt" o:hralign="center" o:hrstd="t" o:hr="t"/>
        </w:pict>
      </w:r>
    </w:p>
    <w:bookmarkEnd w:id="24"/>
    <w:bookmarkStart w:id="25" w:name="pirámide-de-pruebas"/>
    <w:p>
      <w:pPr>
        <w:pStyle w:val="Heading1"/>
      </w:pPr>
      <w:r>
        <w:t xml:space="preserve">Pirámide de Pruebas</w:t>
      </w:r>
    </w:p>
    <w:p>
      <w:pPr>
        <w:pStyle w:val="FirstParagraph"/>
      </w:pPr>
      <w:r>
        <w:rPr>
          <w:rStyle w:val="VerbatimChar"/>
        </w:rPr>
        <w:t xml:space="preserve">text id="customer-testing-pyramid"           End-to-End                ▲         Integración                ▲           Unitarias</w:t>
      </w:r>
    </w:p>
    <w:p>
      <w:pPr>
        <w:pStyle w:val="BodyText"/>
      </w:pPr>
      <w:r>
        <w:t xml:space="preserve">La mayor parte de las pruebas corresponderá al nivel unitario.</w:t>
      </w:r>
    </w:p>
    <w:p>
      <w:r>
        <w:pict>
          <v:rect style="width:0;height:1.5pt" o:hralign="center" o:hrstd="t" o:hr="t"/>
        </w:pict>
      </w:r>
    </w:p>
    <w:bookmarkEnd w:id="25"/>
    <w:bookmarkStart w:id="29" w:name="pruebas-unitarias"/>
    <w:p>
      <w:pPr>
        <w:pStyle w:val="Heading1"/>
      </w:pPr>
      <w:r>
        <w:t xml:space="preserve">Pruebas Unitarias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el comportamiento aislado de cada componente del dominio.</w:t>
      </w:r>
    </w:p>
    <w:bookmarkStart w:id="26" w:name="cobertura-mínima"/>
    <w:p>
      <w:pPr>
        <w:pStyle w:val="Heading3"/>
      </w:pPr>
      <w:r>
        <w:t xml:space="preserve">Cobertura mínima</w:t>
      </w:r>
    </w:p>
    <w:p>
      <w:pPr>
        <w:pStyle w:val="Compact"/>
        <w:numPr>
          <w:ilvl w:val="0"/>
          <w:numId w:val="1003"/>
        </w:numPr>
      </w:pPr>
      <w:r>
        <w:t xml:space="preserve">Entidades.</w:t>
      </w:r>
    </w:p>
    <w:p>
      <w:pPr>
        <w:pStyle w:val="Compact"/>
        <w:numPr>
          <w:ilvl w:val="0"/>
          <w:numId w:val="1003"/>
        </w:numPr>
      </w:pPr>
      <w:r>
        <w:t xml:space="preserve">Value Objects.</w:t>
      </w:r>
    </w:p>
    <w:p>
      <w:pPr>
        <w:pStyle w:val="Compact"/>
        <w:numPr>
          <w:ilvl w:val="0"/>
          <w:numId w:val="1003"/>
        </w:numPr>
      </w:pPr>
      <w:r>
        <w:t xml:space="preserve">Casos de uso.</w:t>
      </w:r>
    </w:p>
    <w:p>
      <w:pPr>
        <w:pStyle w:val="Compact"/>
        <w:numPr>
          <w:ilvl w:val="0"/>
          <w:numId w:val="1003"/>
        </w:numPr>
      </w:pPr>
      <w:r>
        <w:t xml:space="preserve">Validadores.</w:t>
      </w:r>
    </w:p>
    <w:p>
      <w:pPr>
        <w:pStyle w:val="Compact"/>
        <w:numPr>
          <w:ilvl w:val="0"/>
          <w:numId w:val="1003"/>
        </w:numPr>
      </w:pPr>
      <w:r>
        <w:t xml:space="preserve">Conversores.</w:t>
      </w:r>
    </w:p>
    <w:p>
      <w:pPr>
        <w:pStyle w:val="Compact"/>
        <w:numPr>
          <w:ilvl w:val="0"/>
          <w:numId w:val="1003"/>
        </w:numPr>
      </w:pPr>
      <w:r>
        <w:t xml:space="preserve">Mappers.</w:t>
      </w:r>
    </w:p>
    <w:p>
      <w:pPr>
        <w:pStyle w:val="Compact"/>
        <w:numPr>
          <w:ilvl w:val="0"/>
          <w:numId w:val="1003"/>
        </w:numPr>
      </w:pPr>
      <w:r>
        <w:t xml:space="preserve">Hooks específicos del dominio.</w:t>
      </w:r>
    </w:p>
    <w:bookmarkEnd w:id="26"/>
    <w:bookmarkStart w:id="27" w:name="casos-principales"/>
    <w:p>
      <w:pPr>
        <w:pStyle w:val="Heading3"/>
      </w:pPr>
      <w:r>
        <w:t xml:space="preserve">Casos principales</w:t>
      </w:r>
    </w:p>
    <w:p>
      <w:pPr>
        <w:pStyle w:val="Compact"/>
        <w:numPr>
          <w:ilvl w:val="0"/>
          <w:numId w:val="1004"/>
        </w:numPr>
      </w:pPr>
      <w:r>
        <w:t xml:space="preserve">Crear cliente válido.</w:t>
      </w:r>
    </w:p>
    <w:p>
      <w:pPr>
        <w:pStyle w:val="Compact"/>
        <w:numPr>
          <w:ilvl w:val="0"/>
          <w:numId w:val="1004"/>
        </w:numPr>
      </w:pPr>
      <w:r>
        <w:t xml:space="preserve">Rechazar datos inválidos.</w:t>
      </w:r>
    </w:p>
    <w:p>
      <w:pPr>
        <w:pStyle w:val="Compact"/>
        <w:numPr>
          <w:ilvl w:val="0"/>
          <w:numId w:val="1004"/>
        </w:numPr>
      </w:pPr>
      <w:r>
        <w:t xml:space="preserve">Detectar duplicados.</w:t>
      </w:r>
    </w:p>
    <w:p>
      <w:pPr>
        <w:pStyle w:val="Compact"/>
        <w:numPr>
          <w:ilvl w:val="0"/>
          <w:numId w:val="1004"/>
        </w:numPr>
      </w:pPr>
      <w:r>
        <w:t xml:space="preserve">Actualizar perfil.</w:t>
      </w:r>
    </w:p>
    <w:p>
      <w:pPr>
        <w:pStyle w:val="Compact"/>
        <w:numPr>
          <w:ilvl w:val="0"/>
          <w:numId w:val="1004"/>
        </w:numPr>
      </w:pPr>
      <w:r>
        <w:t xml:space="preserve">Archivar cliente.</w:t>
      </w:r>
    </w:p>
    <w:p>
      <w:pPr>
        <w:pStyle w:val="Compact"/>
        <w:numPr>
          <w:ilvl w:val="0"/>
          <w:numId w:val="1004"/>
        </w:numPr>
      </w:pPr>
      <w:r>
        <w:t xml:space="preserve">Restaurar cliente.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pruebas-de-integración"/>
    <w:p>
      <w:pPr>
        <w:pStyle w:val="Heading1"/>
      </w:pPr>
      <w:r>
        <w:t xml:space="preserve">Pruebas de Integración</w:t>
      </w:r>
    </w:p>
    <w:bookmarkStart w:id="3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Verificar la interacción entre el dominio y la infraestructura.</w:t>
      </w:r>
    </w:p>
    <w:bookmarkStart w:id="30" w:name="componentes"/>
    <w:p>
      <w:pPr>
        <w:pStyle w:val="Heading3"/>
      </w:pPr>
      <w:r>
        <w:t xml:space="preserve">Componentes</w:t>
      </w:r>
    </w:p>
    <w:p>
      <w:pPr>
        <w:pStyle w:val="Compact"/>
        <w:numPr>
          <w:ilvl w:val="0"/>
          <w:numId w:val="1005"/>
        </w:numPr>
      </w:pPr>
      <w:r>
        <w:t xml:space="preserve">Firestore Emulator.</w:t>
      </w:r>
    </w:p>
    <w:p>
      <w:pPr>
        <w:pStyle w:val="Compact"/>
        <w:numPr>
          <w:ilvl w:val="0"/>
          <w:numId w:val="1005"/>
        </w:numPr>
      </w:pPr>
      <w:r>
        <w:t xml:space="preserve">Cloud Functions Emulator.</w:t>
      </w:r>
    </w:p>
    <w:p>
      <w:pPr>
        <w:pStyle w:val="Compact"/>
        <w:numPr>
          <w:ilvl w:val="0"/>
          <w:numId w:val="1005"/>
        </w:numPr>
      </w:pPr>
      <w:r>
        <w:t xml:space="preserve">Authentication Emulator.</w:t>
      </w:r>
    </w:p>
    <w:bookmarkEnd w:id="30"/>
    <w:bookmarkStart w:id="31" w:name="escenarios"/>
    <w:p>
      <w:pPr>
        <w:pStyle w:val="Heading3"/>
      </w:pPr>
      <w:r>
        <w:t xml:space="preserve">Escenarios</w:t>
      </w:r>
    </w:p>
    <w:p>
      <w:pPr>
        <w:pStyle w:val="Compact"/>
        <w:numPr>
          <w:ilvl w:val="0"/>
          <w:numId w:val="1006"/>
        </w:numPr>
      </w:pPr>
      <w:r>
        <w:t xml:space="preserve">Persistencia correcta.</w:t>
      </w:r>
    </w:p>
    <w:p>
      <w:pPr>
        <w:pStyle w:val="Compact"/>
        <w:numPr>
          <w:ilvl w:val="0"/>
          <w:numId w:val="1006"/>
        </w:numPr>
      </w:pPr>
      <w:r>
        <w:t xml:space="preserve">Lecturas.</w:t>
      </w:r>
    </w:p>
    <w:p>
      <w:pPr>
        <w:pStyle w:val="Compact"/>
        <w:numPr>
          <w:ilvl w:val="0"/>
          <w:numId w:val="1006"/>
        </w:numPr>
      </w:pPr>
      <w:r>
        <w:t xml:space="preserve">Consultas paginadas.</w:t>
      </w:r>
    </w:p>
    <w:p>
      <w:pPr>
        <w:pStyle w:val="Compact"/>
        <w:numPr>
          <w:ilvl w:val="0"/>
          <w:numId w:val="1006"/>
        </w:numPr>
      </w:pPr>
      <w:r>
        <w:t xml:space="preserve">Transacciones.</w:t>
      </w:r>
    </w:p>
    <w:p>
      <w:pPr>
        <w:pStyle w:val="Compact"/>
        <w:numPr>
          <w:ilvl w:val="0"/>
          <w:numId w:val="1006"/>
        </w:numPr>
      </w:pPr>
      <w:r>
        <w:t xml:space="preserve">Eventos emitidos.</w:t>
      </w:r>
    </w:p>
    <w:p>
      <w:pPr>
        <w:pStyle w:val="Compact"/>
        <w:numPr>
          <w:ilvl w:val="0"/>
          <w:numId w:val="1006"/>
        </w:numPr>
      </w:pPr>
      <w:r>
        <w:t xml:space="preserve">Integración con Logging.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pruebas-end-to-end"/>
    <w:p>
      <w:pPr>
        <w:pStyle w:val="Heading1"/>
      </w:pPr>
      <w:r>
        <w:t xml:space="preserve">Pruebas End-to-End</w:t>
      </w:r>
    </w:p>
    <w:bookmarkStart w:id="35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flujos completos desde la interfaz hasta la persistencia.</w:t>
      </w:r>
    </w:p>
    <w:bookmarkStart w:id="34" w:name="escenarios-1"/>
    <w:p>
      <w:pPr>
        <w:pStyle w:val="Heading3"/>
      </w:pPr>
      <w:r>
        <w:t xml:space="preserve">Escenarios</w:t>
      </w:r>
    </w:p>
    <w:p>
      <w:pPr>
        <w:pStyle w:val="Compact"/>
        <w:numPr>
          <w:ilvl w:val="0"/>
          <w:numId w:val="1007"/>
        </w:numPr>
      </w:pPr>
      <w:r>
        <w:t xml:space="preserve">Registrar cliente.</w:t>
      </w:r>
    </w:p>
    <w:p>
      <w:pPr>
        <w:pStyle w:val="Compact"/>
        <w:numPr>
          <w:ilvl w:val="0"/>
          <w:numId w:val="1007"/>
        </w:numPr>
      </w:pPr>
      <w:r>
        <w:t xml:space="preserve">Buscar cliente.</w:t>
      </w:r>
    </w:p>
    <w:p>
      <w:pPr>
        <w:pStyle w:val="Compact"/>
        <w:numPr>
          <w:ilvl w:val="0"/>
          <w:numId w:val="1007"/>
        </w:numPr>
      </w:pPr>
      <w:r>
        <w:t xml:space="preserve">Editar cliente.</w:t>
      </w:r>
    </w:p>
    <w:p>
      <w:pPr>
        <w:pStyle w:val="Compact"/>
        <w:numPr>
          <w:ilvl w:val="0"/>
          <w:numId w:val="1007"/>
        </w:numPr>
      </w:pPr>
      <w:r>
        <w:t xml:space="preserve">Archivar.</w:t>
      </w:r>
    </w:p>
    <w:p>
      <w:pPr>
        <w:pStyle w:val="Compact"/>
        <w:numPr>
          <w:ilvl w:val="0"/>
          <w:numId w:val="1007"/>
        </w:numPr>
      </w:pPr>
      <w:r>
        <w:t xml:space="preserve">Restaurar.</w:t>
      </w:r>
    </w:p>
    <w:p>
      <w:pPr>
        <w:pStyle w:val="Compact"/>
        <w:numPr>
          <w:ilvl w:val="0"/>
          <w:numId w:val="1007"/>
        </w:numPr>
      </w:pPr>
      <w:r>
        <w:t xml:space="preserve">Exportar clientes.</w:t>
      </w:r>
    </w:p>
    <w:p>
      <w:pPr>
        <w:pStyle w:val="Compact"/>
        <w:numPr>
          <w:ilvl w:val="0"/>
          <w:numId w:val="1007"/>
        </w:numPr>
      </w:pPr>
      <w:r>
        <w:t xml:space="preserve">Importar clientes.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pruebas-de-seguridad"/>
    <w:p>
      <w:pPr>
        <w:pStyle w:val="Heading1"/>
      </w:pPr>
      <w:r>
        <w:t xml:space="preserve">Pruebas de Seguridad</w:t>
      </w:r>
    </w:p>
    <w:p>
      <w:pPr>
        <w:pStyle w:val="FirstParagraph"/>
      </w:pPr>
      <w:r>
        <w:t xml:space="preserve">Se comprobará:</w:t>
      </w:r>
    </w:p>
    <w:p>
      <w:pPr>
        <w:pStyle w:val="Compact"/>
        <w:numPr>
          <w:ilvl w:val="0"/>
          <w:numId w:val="1008"/>
        </w:numPr>
      </w:pPr>
      <w:r>
        <w:t xml:space="preserve">Acceso sin autenticación.</w:t>
      </w:r>
    </w:p>
    <w:p>
      <w:pPr>
        <w:pStyle w:val="Compact"/>
        <w:numPr>
          <w:ilvl w:val="0"/>
          <w:numId w:val="1008"/>
        </w:numPr>
      </w:pPr>
      <w:r>
        <w:t xml:space="preserve">Acceso con permisos insuficientes.</w:t>
      </w:r>
    </w:p>
    <w:p>
      <w:pPr>
        <w:pStyle w:val="Compact"/>
        <w:numPr>
          <w:ilvl w:val="0"/>
          <w:numId w:val="1008"/>
        </w:numPr>
      </w:pPr>
      <w:r>
        <w:t xml:space="preserve">Acceso entre organizaciones.</w:t>
      </w:r>
    </w:p>
    <w:p>
      <w:pPr>
        <w:pStyle w:val="Compact"/>
        <w:numPr>
          <w:ilvl w:val="0"/>
          <w:numId w:val="1008"/>
        </w:numPr>
      </w:pPr>
      <w:r>
        <w:t xml:space="preserve">Modificación de campos protegidos.</w:t>
      </w:r>
    </w:p>
    <w:p>
      <w:pPr>
        <w:pStyle w:val="Compact"/>
        <w:numPr>
          <w:ilvl w:val="0"/>
          <w:numId w:val="1008"/>
        </w:numPr>
      </w:pPr>
      <w:r>
        <w:t xml:space="preserve">Escrituras directas prohibidas.</w:t>
      </w:r>
    </w:p>
    <w:p>
      <w:pPr>
        <w:pStyle w:val="FirstParagraph"/>
      </w:pPr>
      <w:r>
        <w:t xml:space="preserve">Las pruebas deberán ejecutarse sobre Firebase Emulator Suite.</w:t>
      </w:r>
    </w:p>
    <w:p>
      <w:r>
        <w:pict>
          <v:rect style="width:0;height:1.5pt" o:hralign="center" o:hrstd="t" o:hr="t"/>
        </w:pict>
      </w:r>
    </w:p>
    <w:bookmarkEnd w:id="37"/>
    <w:bookmarkStart w:id="38" w:name="pruebas-de-rendimiento"/>
    <w:p>
      <w:pPr>
        <w:pStyle w:val="Heading1"/>
      </w:pPr>
      <w:r>
        <w:t xml:space="preserve">Pruebas de Rendimiento</w:t>
      </w:r>
    </w:p>
    <w:p>
      <w:pPr>
        <w:pStyle w:val="FirstParagraph"/>
      </w:pPr>
      <w:r>
        <w:t xml:space="preserve">Se medirán, como mínimo:</w:t>
      </w:r>
    </w:p>
    <w:p>
      <w:pPr>
        <w:pStyle w:val="Compact"/>
        <w:numPr>
          <w:ilvl w:val="0"/>
          <w:numId w:val="1009"/>
        </w:numPr>
      </w:pPr>
      <w:r>
        <w:t xml:space="preserve">Tiempo de respuesta de búsquedas.</w:t>
      </w:r>
    </w:p>
    <w:p>
      <w:pPr>
        <w:pStyle w:val="Compact"/>
        <w:numPr>
          <w:ilvl w:val="0"/>
          <w:numId w:val="1009"/>
        </w:numPr>
      </w:pPr>
      <w:r>
        <w:t xml:space="preserve">Tiempo de creación.</w:t>
      </w:r>
    </w:p>
    <w:p>
      <w:pPr>
        <w:pStyle w:val="Compact"/>
        <w:numPr>
          <w:ilvl w:val="0"/>
          <w:numId w:val="1009"/>
        </w:numPr>
      </w:pPr>
      <w:r>
        <w:t xml:space="preserve">Consultas paginadas.</w:t>
      </w:r>
    </w:p>
    <w:p>
      <w:pPr>
        <w:pStyle w:val="Compact"/>
        <w:numPr>
          <w:ilvl w:val="0"/>
          <w:numId w:val="1009"/>
        </w:numPr>
      </w:pPr>
      <w:r>
        <w:t xml:space="preserve">Operaciones masivas.</w:t>
      </w:r>
    </w:p>
    <w:p>
      <w:pPr>
        <w:pStyle w:val="FirstParagraph"/>
      </w:pPr>
      <w:r>
        <w:t xml:space="preserve">Los resultados servirán para ajustar índices y consultas.</w:t>
      </w:r>
    </w:p>
    <w:p>
      <w:r>
        <w:pict>
          <v:rect style="width:0;height:1.5pt" o:hralign="center" o:hrstd="t" o:hr="t"/>
        </w:pict>
      </w:r>
    </w:p>
    <w:bookmarkEnd w:id="38"/>
    <w:bookmarkStart w:id="39" w:name="pruebas-de-accesibilidad"/>
    <w:p>
      <w:pPr>
        <w:pStyle w:val="Heading1"/>
      </w:pPr>
      <w:r>
        <w:t xml:space="preserve">Pruebas de Accesibilidad</w:t>
      </w:r>
    </w:p>
    <w:p>
      <w:pPr>
        <w:pStyle w:val="FirstParagraph"/>
      </w:pPr>
      <w:r>
        <w:t xml:space="preserve">La interfaz deberá verificar:</w:t>
      </w:r>
    </w:p>
    <w:p>
      <w:pPr>
        <w:pStyle w:val="Compact"/>
        <w:numPr>
          <w:ilvl w:val="0"/>
          <w:numId w:val="1010"/>
        </w:numPr>
      </w:pPr>
      <w:r>
        <w:t xml:space="preserve">Navegación mediante teclado.</w:t>
      </w:r>
    </w:p>
    <w:p>
      <w:pPr>
        <w:pStyle w:val="Compact"/>
        <w:numPr>
          <w:ilvl w:val="0"/>
          <w:numId w:val="1010"/>
        </w:numPr>
      </w:pPr>
      <w:r>
        <w:t xml:space="preserve">Orden del foco.</w:t>
      </w:r>
    </w:p>
    <w:p>
      <w:pPr>
        <w:pStyle w:val="Compact"/>
        <w:numPr>
          <w:ilvl w:val="0"/>
          <w:numId w:val="1010"/>
        </w:numPr>
      </w:pPr>
      <w:r>
        <w:t xml:space="preserve">Etiquetas ARIA.</w:t>
      </w:r>
    </w:p>
    <w:p>
      <w:pPr>
        <w:pStyle w:val="Compact"/>
        <w:numPr>
          <w:ilvl w:val="0"/>
          <w:numId w:val="1010"/>
        </w:numPr>
      </w:pPr>
      <w:r>
        <w:t xml:space="preserve">Contraste.</w:t>
      </w:r>
    </w:p>
    <w:p>
      <w:pPr>
        <w:pStyle w:val="Compact"/>
        <w:numPr>
          <w:ilvl w:val="0"/>
          <w:numId w:val="1010"/>
        </w:numPr>
      </w:pPr>
      <w:r>
        <w:t xml:space="preserve">Estados de error.</w:t>
      </w:r>
    </w:p>
    <w:p>
      <w:r>
        <w:pict>
          <v:rect style="width:0;height:1.5pt" o:hralign="center" o:hrstd="t" o:hr="t"/>
        </w:pict>
      </w:r>
    </w:p>
    <w:bookmarkEnd w:id="39"/>
    <w:bookmarkStart w:id="40" w:name="cobertura-objetivo"/>
    <w:p>
      <w:pPr>
        <w:pStyle w:val="Heading1"/>
      </w:pPr>
      <w:r>
        <w:t xml:space="preserve">Cobertura Objetivo</w:t>
      </w:r>
    </w:p>
    <w:p>
      <w:pPr>
        <w:pStyle w:val="FirstParagraph"/>
      </w:pPr>
      <w:r>
        <w:t xml:space="preserve">Cobertura recomendada: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</w:tbl>
    <w:p>
      <w:pPr>
        <w:pStyle w:val="BodyText"/>
      </w:pPr>
      <w:r>
        <w:t xml:space="preserve">Estos valores son objetivos de calidad, no sustituyen una revisión arquitectónica.</w:t>
      </w:r>
    </w:p>
    <w:p>
      <w:r>
        <w:pict>
          <v:rect style="width:0;height:1.5pt" o:hralign="center" o:hrstd="t" o:hr="t"/>
        </w:pict>
      </w:r>
    </w:p>
    <w:bookmarkEnd w:id="40"/>
    <w:bookmarkStart w:id="41" w:name="datos-de-prueba"/>
    <w:p>
      <w:pPr>
        <w:pStyle w:val="Heading1"/>
      </w:pPr>
      <w:r>
        <w:t xml:space="preserve">Datos de Prueba</w:t>
      </w:r>
    </w:p>
    <w:p>
      <w:pPr>
        <w:pStyle w:val="FirstParagraph"/>
      </w:pPr>
      <w:r>
        <w:t xml:space="preserve">Se utilizarán:</w:t>
      </w:r>
    </w:p>
    <w:p>
      <w:pPr>
        <w:pStyle w:val="Compact"/>
        <w:numPr>
          <w:ilvl w:val="0"/>
          <w:numId w:val="1011"/>
        </w:numPr>
      </w:pPr>
      <w:r>
        <w:t xml:space="preserve">Factories.</w:t>
      </w:r>
    </w:p>
    <w:p>
      <w:pPr>
        <w:pStyle w:val="Compact"/>
        <w:numPr>
          <w:ilvl w:val="0"/>
          <w:numId w:val="1011"/>
        </w:numPr>
      </w:pPr>
      <w:r>
        <w:t xml:space="preserve">Builders.</w:t>
      </w:r>
    </w:p>
    <w:p>
      <w:pPr>
        <w:pStyle w:val="Compact"/>
        <w:numPr>
          <w:ilvl w:val="0"/>
          <w:numId w:val="1011"/>
        </w:numPr>
      </w:pPr>
      <w:r>
        <w:t xml:space="preserve">Fixtures.</w:t>
      </w:r>
    </w:p>
    <w:p>
      <w:pPr>
        <w:pStyle w:val="Compact"/>
        <w:numPr>
          <w:ilvl w:val="0"/>
          <w:numId w:val="1011"/>
        </w:numPr>
      </w:pPr>
      <w:r>
        <w:t xml:space="preserve">Mocks.</w:t>
      </w:r>
    </w:p>
    <w:p>
      <w:pPr>
        <w:pStyle w:val="FirstParagraph"/>
      </w:pPr>
      <w:r>
        <w:t xml:space="preserve">No se utilizarán datos de producción.</w:t>
      </w:r>
    </w:p>
    <w:p>
      <w:r>
        <w:pict>
          <v:rect style="width:0;height:1.5pt" o:hralign="center" o:hrstd="t" o:hr="t"/>
        </w:pict>
      </w:r>
    </w:p>
    <w:bookmarkEnd w:id="41"/>
    <w:bookmarkStart w:id="42" w:name="automatización"/>
    <w:p>
      <w:pPr>
        <w:pStyle w:val="Heading1"/>
      </w:pPr>
      <w:r>
        <w:t xml:space="preserve">Automatización</w:t>
      </w:r>
    </w:p>
    <w:p>
      <w:pPr>
        <w:pStyle w:val="FirstParagraph"/>
      </w:pPr>
      <w:r>
        <w:t xml:space="preserve">Las pruebas deberán ejecutarse:</w:t>
      </w:r>
    </w:p>
    <w:p>
      <w:pPr>
        <w:pStyle w:val="Compact"/>
        <w:numPr>
          <w:ilvl w:val="0"/>
          <w:numId w:val="1012"/>
        </w:numPr>
      </w:pPr>
      <w:r>
        <w:t xml:space="preserve">Antes de cada Pull Request.</w:t>
      </w:r>
    </w:p>
    <w:p>
      <w:pPr>
        <w:pStyle w:val="Compact"/>
        <w:numPr>
          <w:ilvl w:val="0"/>
          <w:numId w:val="1012"/>
        </w:numPr>
      </w:pPr>
      <w:r>
        <w:t xml:space="preserve">Antes de cada despliegue.</w:t>
      </w:r>
    </w:p>
    <w:p>
      <w:pPr>
        <w:pStyle w:val="Compact"/>
        <w:numPr>
          <w:ilvl w:val="0"/>
          <w:numId w:val="1012"/>
        </w:numPr>
      </w:pPr>
      <w:r>
        <w:t xml:space="preserve">En la integración continua.</w:t>
      </w:r>
    </w:p>
    <w:p>
      <w:pPr>
        <w:pStyle w:val="FirstParagraph"/>
      </w:pPr>
      <w:r>
        <w:t xml:space="preserve">Un fallo bloqueará la integración hasta su resolución.</w:t>
      </w:r>
    </w:p>
    <w:p>
      <w:r>
        <w:pict>
          <v:rect style="width:0;height:1.5pt" o:hralign="center" o:hrstd="t" o:hr="t"/>
        </w:pict>
      </w:r>
    </w:p>
    <w:bookmarkEnd w:id="42"/>
    <w:bookmarkStart w:id="43" w:name="criterios-de-aprobación"/>
    <w:p>
      <w:pPr>
        <w:pStyle w:val="Heading1"/>
      </w:pPr>
      <w:r>
        <w:t xml:space="preserve">Criterios de Aprobación</w:t>
      </w:r>
    </w:p>
    <w:p>
      <w:pPr>
        <w:pStyle w:val="FirstParagraph"/>
      </w:pPr>
      <w:r>
        <w:t xml:space="preserve">El dominio se considerará listo cuando:</w:t>
      </w:r>
    </w:p>
    <w:p>
      <w:pPr>
        <w:pStyle w:val="Compact"/>
        <w:numPr>
          <w:ilvl w:val="0"/>
          <w:numId w:val="1013"/>
        </w:numPr>
      </w:pPr>
      <w:r>
        <w:t xml:space="preserve">Todas las pruebas sean satisfactorias.</w:t>
      </w:r>
    </w:p>
    <w:p>
      <w:pPr>
        <w:pStyle w:val="Compact"/>
        <w:numPr>
          <w:ilvl w:val="0"/>
          <w:numId w:val="1013"/>
        </w:numPr>
      </w:pPr>
      <w:r>
        <w:t xml:space="preserve">No existan errores críticos.</w:t>
      </w:r>
    </w:p>
    <w:p>
      <w:pPr>
        <w:pStyle w:val="Compact"/>
        <w:numPr>
          <w:ilvl w:val="0"/>
          <w:numId w:val="1013"/>
        </w:numPr>
      </w:pPr>
      <w:r>
        <w:t xml:space="preserve">Se cumpla la cobertura acordada.</w:t>
      </w:r>
    </w:p>
    <w:p>
      <w:pPr>
        <w:pStyle w:val="Compact"/>
        <w:numPr>
          <w:ilvl w:val="0"/>
          <w:numId w:val="1013"/>
        </w:numPr>
      </w:pPr>
      <w:r>
        <w:t xml:space="preserve">La revisión arquitectónica sea aprobada.</w:t>
      </w:r>
    </w:p>
    <w:p>
      <w:r>
        <w:pict>
          <v:rect style="width:0;height:1.5pt" o:hralign="center" o:hrstd="t" o:hr="t"/>
        </w:pict>
      </w:r>
    </w:p>
    <w:bookmarkEnd w:id="43"/>
    <w:bookmarkStart w:id="44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4"/>
        </w:numPr>
      </w:pPr>
      <w:r>
        <w:t xml:space="preserve">Dependencia de datos reales.</w:t>
      </w:r>
    </w:p>
    <w:p>
      <w:pPr>
        <w:pStyle w:val="Compact"/>
        <w:numPr>
          <w:ilvl w:val="0"/>
          <w:numId w:val="1014"/>
        </w:numPr>
      </w:pPr>
      <w:r>
        <w:t xml:space="preserve">Pruebas frágiles.</w:t>
      </w:r>
    </w:p>
    <w:p>
      <w:pPr>
        <w:pStyle w:val="Compact"/>
        <w:numPr>
          <w:ilvl w:val="0"/>
          <w:numId w:val="1014"/>
        </w:numPr>
      </w:pPr>
      <w:r>
        <w:t xml:space="preserve">Cobertura insuficiente.</w:t>
      </w:r>
    </w:p>
    <w:p>
      <w:pPr>
        <w:pStyle w:val="Compact"/>
        <w:numPr>
          <w:ilvl w:val="0"/>
          <w:numId w:val="1014"/>
        </w:numPr>
      </w:pPr>
      <w:r>
        <w:t xml:space="preserve">Escenarios críticos sin validar.</w:t>
      </w:r>
    </w:p>
    <w:p>
      <w:r>
        <w:pict>
          <v:rect style="width:0;height:1.5pt" o:hralign="center" o:hrstd="t" o:hr="t"/>
        </w:pict>
      </w:r>
    </w:p>
    <w:bookmarkEnd w:id="44"/>
    <w:bookmarkStart w:id="45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5"/>
        </w:numPr>
      </w:pPr>
      <w:r>
        <w:t xml:space="preserve">Estrategia unitaria definida.</w:t>
      </w:r>
    </w:p>
    <w:p>
      <w:pPr>
        <w:pStyle w:val="Compact"/>
        <w:numPr>
          <w:ilvl w:val="0"/>
          <w:numId w:val="1015"/>
        </w:numPr>
      </w:pPr>
      <w:r>
        <w:t xml:space="preserve">Integración documentada.</w:t>
      </w:r>
    </w:p>
    <w:p>
      <w:pPr>
        <w:pStyle w:val="Compact"/>
        <w:numPr>
          <w:ilvl w:val="0"/>
          <w:numId w:val="1015"/>
        </w:numPr>
      </w:pPr>
      <w:r>
        <w:t xml:space="preserve">E2E definidos.</w:t>
      </w:r>
    </w:p>
    <w:p>
      <w:pPr>
        <w:pStyle w:val="Compact"/>
        <w:numPr>
          <w:ilvl w:val="0"/>
          <w:numId w:val="1015"/>
        </w:numPr>
      </w:pPr>
      <w:r>
        <w:t xml:space="preserve">Seguridad validada.</w:t>
      </w:r>
    </w:p>
    <w:p>
      <w:pPr>
        <w:pStyle w:val="Compact"/>
        <w:numPr>
          <w:ilvl w:val="0"/>
          <w:numId w:val="1015"/>
        </w:numPr>
      </w:pPr>
      <w:r>
        <w:t xml:space="preserve">Rendimiento considerado.</w:t>
      </w:r>
    </w:p>
    <w:p>
      <w:pPr>
        <w:pStyle w:val="Compact"/>
        <w:numPr>
          <w:ilvl w:val="0"/>
          <w:numId w:val="1015"/>
        </w:numPr>
      </w:pPr>
      <w:r>
        <w:t xml:space="preserve">Automatización planificada.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6"/>
        </w:numPr>
      </w:pPr>
      <w:r>
        <w:t xml:space="preserve">CUSTOMER003_CUSTOMER_USE_CASES.md</w:t>
      </w:r>
    </w:p>
    <w:p>
      <w:pPr>
        <w:pStyle w:val="Compact"/>
        <w:numPr>
          <w:ilvl w:val="0"/>
          <w:numId w:val="1016"/>
        </w:numPr>
      </w:pPr>
      <w:r>
        <w:t xml:space="preserve">CUSTOMER005_CLOUD_FUNCTIONS_API_SPECIFICATION.md</w:t>
      </w:r>
    </w:p>
    <w:p>
      <w:pPr>
        <w:pStyle w:val="Compact"/>
        <w:numPr>
          <w:ilvl w:val="0"/>
          <w:numId w:val="1016"/>
        </w:numPr>
      </w:pPr>
      <w:r>
        <w:t xml:space="preserve">CUSTOMER006_FIRESTORE_SECURITY_RULES_SPECIFICATION.md</w:t>
      </w:r>
    </w:p>
    <w:p>
      <w:pPr>
        <w:pStyle w:val="Compact"/>
        <w:numPr>
          <w:ilvl w:val="0"/>
          <w:numId w:val="1016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6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46"/>
    <w:bookmarkStart w:id="47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pruebas del dominio Customers.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2026-06-30T17:05:21Z</dcterms:created>
  <dcterms:modified xsi:type="dcterms:W3CDTF">2026-06-30T17:05:21Z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