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triciaguillenvaler-studio-platform"/>
    <w:p>
      <w:pPr>
        <w:pStyle w:val="Heading1"/>
      </w:pPr>
      <w:r>
        <w:t xml:space="preserve">PATRICIAGUILLENVALER STUDIO PLATFORM</w:t>
      </w:r>
    </w:p>
    <w:bookmarkEnd w:id="20"/>
    <w:bookmarkStart w:id="21" w:name="treatment003-treatment-use-cases"/>
    <w:p>
      <w:pPr>
        <w:pStyle w:val="Heading1"/>
      </w:pPr>
      <w:r>
        <w:t xml:space="preserve">TREATMENT003 — TREATMENT USE CASES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Diseño</w:t>
      </w:r>
    </w:p>
    <w:p>
      <w:pPr>
        <w:pStyle w:val="BodyText"/>
      </w:pPr>
      <w:r>
        <w:rPr>
          <w:b/>
          <w:bCs/>
        </w:rPr>
        <w:t xml:space="preserve">Autor:</w:t>
      </w:r>
      <w:r>
        <w:t xml:space="preserve"> </w:t>
      </w:r>
      <w:r>
        <w:t xml:space="preserve">Chief Software Architect</w:t>
      </w:r>
    </w:p>
    <w:p>
      <w:r>
        <w:pict>
          <v:rect style="width:0;height:1.5pt" o:hralign="center" o:hrstd="t" o:hr="t"/>
        </w:pict>
      </w:r>
    </w:p>
    <w:bookmarkEnd w:id="21"/>
    <w:bookmarkStart w:id="22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Definir los casos de uso oficiales del dominio</w:t>
      </w:r>
      <w:r>
        <w:t xml:space="preserve"> </w:t>
      </w:r>
      <w:r>
        <w:rPr>
          <w:b/>
          <w:bCs/>
        </w:rPr>
        <w:t xml:space="preserve">Treatments</w:t>
      </w:r>
      <w:r>
        <w:t xml:space="preserve">.</w:t>
      </w:r>
    </w:p>
    <w:p>
      <w:pPr>
        <w:pStyle w:val="BodyText"/>
      </w:pPr>
      <w:r>
        <w:t xml:space="preserve">Este documento describe el comportamiento funcional del catálogo de tratamientos, las reglas de negocio y los eventos generados durante su ciclo de vida.</w:t>
      </w:r>
    </w:p>
    <w:p>
      <w:r>
        <w:pict>
          <v:rect style="width:0;height:1.5pt" o:hralign="center" o:hrstd="t" o:hr="t"/>
        </w:pict>
      </w:r>
    </w:p>
    <w:bookmarkEnd w:id="22"/>
    <w:bookmarkStart w:id="23" w:name="alcance"/>
    <w:p>
      <w:pPr>
        <w:pStyle w:val="Heading1"/>
      </w:pPr>
      <w:r>
        <w:t xml:space="preserve">Alcance</w:t>
      </w:r>
    </w:p>
    <w:p>
      <w:pPr>
        <w:pStyle w:val="FirstParagraph"/>
      </w:pPr>
      <w:r>
        <w:t xml:space="preserve">Incluye:</w:t>
      </w:r>
    </w:p>
    <w:p>
      <w:pPr>
        <w:pStyle w:val="Compact"/>
        <w:numPr>
          <w:ilvl w:val="0"/>
          <w:numId w:val="1001"/>
        </w:numPr>
      </w:pPr>
      <w:r>
        <w:t xml:space="preserve">Creación.</w:t>
      </w:r>
    </w:p>
    <w:p>
      <w:pPr>
        <w:pStyle w:val="Compact"/>
        <w:numPr>
          <w:ilvl w:val="0"/>
          <w:numId w:val="1001"/>
        </w:numPr>
      </w:pPr>
      <w:r>
        <w:t xml:space="preserve">Actualización.</w:t>
      </w:r>
    </w:p>
    <w:p>
      <w:pPr>
        <w:pStyle w:val="Compact"/>
        <w:numPr>
          <w:ilvl w:val="0"/>
          <w:numId w:val="1001"/>
        </w:numPr>
      </w:pPr>
      <w:r>
        <w:t xml:space="preserve">Activación.</w:t>
      </w:r>
    </w:p>
    <w:p>
      <w:pPr>
        <w:pStyle w:val="Compact"/>
        <w:numPr>
          <w:ilvl w:val="0"/>
          <w:numId w:val="1001"/>
        </w:numPr>
      </w:pPr>
      <w:r>
        <w:t xml:space="preserve">Desactivación.</w:t>
      </w:r>
    </w:p>
    <w:p>
      <w:pPr>
        <w:pStyle w:val="Compact"/>
        <w:numPr>
          <w:ilvl w:val="0"/>
          <w:numId w:val="1001"/>
        </w:numPr>
      </w:pPr>
      <w:r>
        <w:t xml:space="preserve">Archivado.</w:t>
      </w:r>
    </w:p>
    <w:p>
      <w:pPr>
        <w:pStyle w:val="Compact"/>
        <w:numPr>
          <w:ilvl w:val="0"/>
          <w:numId w:val="1001"/>
        </w:numPr>
      </w:pPr>
      <w:r>
        <w:t xml:space="preserve">Gestión de variantes.</w:t>
      </w:r>
    </w:p>
    <w:p>
      <w:pPr>
        <w:pStyle w:val="Compact"/>
        <w:numPr>
          <w:ilvl w:val="0"/>
          <w:numId w:val="1001"/>
        </w:numPr>
      </w:pPr>
      <w:r>
        <w:t xml:space="preserve">Gestión de protocolos.</w:t>
      </w:r>
    </w:p>
    <w:p>
      <w:pPr>
        <w:pStyle w:val="Compact"/>
        <w:numPr>
          <w:ilvl w:val="0"/>
          <w:numId w:val="1001"/>
        </w:numPr>
      </w:pPr>
      <w:r>
        <w:t xml:space="preserve">Asociación de especialistas.</w:t>
      </w:r>
    </w:p>
    <w:p>
      <w:pPr>
        <w:pStyle w:val="Compact"/>
        <w:numPr>
          <w:ilvl w:val="0"/>
          <w:numId w:val="1001"/>
        </w:numPr>
      </w:pPr>
      <w:r>
        <w:t xml:space="preserve">Asociación de productos.</w:t>
      </w:r>
    </w:p>
    <w:p>
      <w:pPr>
        <w:pStyle w:val="Compact"/>
        <w:numPr>
          <w:ilvl w:val="0"/>
          <w:numId w:val="1001"/>
        </w:numPr>
      </w:pPr>
      <w:r>
        <w:t xml:space="preserve">Consultas.</w:t>
      </w:r>
    </w:p>
    <w:p>
      <w:pPr>
        <w:pStyle w:val="FirstParagraph"/>
      </w:pPr>
      <w:r>
        <w:t xml:space="preserve">No incluye:</w:t>
      </w:r>
    </w:p>
    <w:p>
      <w:pPr>
        <w:pStyle w:val="Compact"/>
        <w:numPr>
          <w:ilvl w:val="0"/>
          <w:numId w:val="1002"/>
        </w:numPr>
      </w:pPr>
      <w:r>
        <w:t xml:space="preserve">Reservas.</w:t>
      </w:r>
    </w:p>
    <w:p>
      <w:pPr>
        <w:pStyle w:val="Compact"/>
        <w:numPr>
          <w:ilvl w:val="0"/>
          <w:numId w:val="1002"/>
        </w:numPr>
      </w:pPr>
      <w:r>
        <w:t xml:space="preserve">Inventario.</w:t>
      </w:r>
    </w:p>
    <w:p>
      <w:pPr>
        <w:pStyle w:val="Compact"/>
        <w:numPr>
          <w:ilvl w:val="0"/>
          <w:numId w:val="1002"/>
        </w:numPr>
      </w:pPr>
      <w:r>
        <w:t xml:space="preserve">Pagos.</w:t>
      </w:r>
    </w:p>
    <w:p>
      <w:pPr>
        <w:pStyle w:val="Compact"/>
        <w:numPr>
          <w:ilvl w:val="0"/>
          <w:numId w:val="1002"/>
        </w:numPr>
      </w:pPr>
      <w:r>
        <w:t xml:space="preserve">Historial clínico.</w:t>
      </w:r>
    </w:p>
    <w:p>
      <w:r>
        <w:pict>
          <v:rect style="width:0;height:1.5pt" o:hralign="center" o:hrstd="t" o:hr="t"/>
        </w:pict>
      </w:r>
    </w:p>
    <w:bookmarkEnd w:id="23"/>
    <w:bookmarkStart w:id="24" w:name="principios"/>
    <w:p>
      <w:pPr>
        <w:pStyle w:val="Heading1"/>
      </w:pPr>
      <w:r>
        <w:t xml:space="preserve">Principios</w:t>
      </w:r>
    </w:p>
    <w:p>
      <w:pPr>
        <w:pStyle w:val="FirstParagraph"/>
      </w:pPr>
      <w:r>
        <w:t xml:space="preserve">Todos los casos de uso deberán:</w:t>
      </w:r>
    </w:p>
    <w:p>
      <w:pPr>
        <w:pStyle w:val="Compact"/>
        <w:numPr>
          <w:ilvl w:val="0"/>
          <w:numId w:val="1003"/>
        </w:numPr>
      </w:pPr>
      <w:r>
        <w:t xml:space="preserve">Validar autenticación.</w:t>
      </w:r>
    </w:p>
    <w:p>
      <w:pPr>
        <w:pStyle w:val="Compact"/>
        <w:numPr>
          <w:ilvl w:val="0"/>
          <w:numId w:val="1003"/>
        </w:numPr>
      </w:pPr>
      <w:r>
        <w:t xml:space="preserve">Validar permisos.</w:t>
      </w:r>
    </w:p>
    <w:p>
      <w:pPr>
        <w:pStyle w:val="Compact"/>
        <w:numPr>
          <w:ilvl w:val="0"/>
          <w:numId w:val="1003"/>
        </w:numPr>
      </w:pPr>
      <w:r>
        <w:t xml:space="preserve">Validar organización.</w:t>
      </w:r>
    </w:p>
    <w:p>
      <w:pPr>
        <w:pStyle w:val="Compact"/>
        <w:numPr>
          <w:ilvl w:val="0"/>
          <w:numId w:val="1003"/>
        </w:numPr>
      </w:pPr>
      <w:r>
        <w:t xml:space="preserve">Registrar auditoría.</w:t>
      </w:r>
    </w:p>
    <w:p>
      <w:pPr>
        <w:pStyle w:val="Compact"/>
        <w:numPr>
          <w:ilvl w:val="0"/>
          <w:numId w:val="1003"/>
        </w:numPr>
      </w:pPr>
      <w:r>
        <w:t xml:space="preserve">Emitir eventos.</w:t>
      </w:r>
    </w:p>
    <w:p>
      <w:pPr>
        <w:pStyle w:val="Compact"/>
        <w:numPr>
          <w:ilvl w:val="0"/>
          <w:numId w:val="1003"/>
        </w:numPr>
      </w:pPr>
      <w:r>
        <w:t xml:space="preserve">Utilizar Result Pattern.</w:t>
      </w:r>
    </w:p>
    <w:p>
      <w:r>
        <w:pict>
          <v:rect style="width:0;height:1.5pt" o:hralign="center" o:hrstd="t" o:hr="t"/>
        </w:pict>
      </w:r>
    </w:p>
    <w:bookmarkEnd w:id="24"/>
    <w:bookmarkStart w:id="29" w:name="uc001-crear-tratamiento"/>
    <w:p>
      <w:pPr>
        <w:pStyle w:val="Heading1"/>
      </w:pPr>
      <w:r>
        <w:t xml:space="preserve">UC001 — Crear Tratamiento</w:t>
      </w:r>
    </w:p>
    <w:bookmarkStart w:id="28" w:name="objetivo-1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Registrar un nuevo tratamiento en el catálogo.</w:t>
      </w:r>
    </w:p>
    <w:bookmarkStart w:id="25" w:name="precondiciones"/>
    <w:p>
      <w:pPr>
        <w:pStyle w:val="Heading3"/>
      </w:pPr>
      <w:r>
        <w:t xml:space="preserve">Precondiciones</w:t>
      </w:r>
    </w:p>
    <w:p>
      <w:pPr>
        <w:pStyle w:val="Compact"/>
        <w:numPr>
          <w:ilvl w:val="0"/>
          <w:numId w:val="1004"/>
        </w:numPr>
      </w:pPr>
      <w:r>
        <w:t xml:space="preserve">Permiso</w:t>
      </w:r>
      <w:r>
        <w:t xml:space="preserve"> </w:t>
      </w:r>
      <w:r>
        <w:rPr>
          <w:rStyle w:val="VerbatimChar"/>
        </w:rPr>
        <w:t xml:space="preserve">treatments.create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Organización válida.</w:t>
      </w:r>
    </w:p>
    <w:p>
      <w:pPr>
        <w:pStyle w:val="Compact"/>
        <w:numPr>
          <w:ilvl w:val="0"/>
          <w:numId w:val="1004"/>
        </w:numPr>
      </w:pPr>
      <w:r>
        <w:t xml:space="preserve">Nombre único dentro de la organización.</w:t>
      </w:r>
    </w:p>
    <w:bookmarkEnd w:id="25"/>
    <w:bookmarkStart w:id="26" w:name="flujo"/>
    <w:p>
      <w:pPr>
        <w:pStyle w:val="Heading3"/>
      </w:pPr>
      <w:r>
        <w:t xml:space="preserve">Flujo</w:t>
      </w:r>
    </w:p>
    <w:p>
      <w:pPr>
        <w:pStyle w:val="Compact"/>
        <w:numPr>
          <w:ilvl w:val="0"/>
          <w:numId w:val="1005"/>
        </w:numPr>
      </w:pPr>
      <w:r>
        <w:t xml:space="preserve">Validar datos.</w:t>
      </w:r>
    </w:p>
    <w:p>
      <w:pPr>
        <w:pStyle w:val="Compact"/>
        <w:numPr>
          <w:ilvl w:val="0"/>
          <w:numId w:val="1005"/>
        </w:numPr>
      </w:pPr>
      <w:r>
        <w:t xml:space="preserve">Verificar duplicados.</w:t>
      </w:r>
    </w:p>
    <w:p>
      <w:pPr>
        <w:pStyle w:val="Compact"/>
        <w:numPr>
          <w:ilvl w:val="0"/>
          <w:numId w:val="1005"/>
        </w:numPr>
      </w:pPr>
      <w:r>
        <w:t xml:space="preserve">Crear tratamiento.</w:t>
      </w:r>
    </w:p>
    <w:p>
      <w:pPr>
        <w:pStyle w:val="Compact"/>
        <w:numPr>
          <w:ilvl w:val="0"/>
          <w:numId w:val="1005"/>
        </w:numPr>
      </w:pPr>
      <w:r>
        <w:t xml:space="preserve">Registrar auditoría.</w:t>
      </w:r>
    </w:p>
    <w:p>
      <w:pPr>
        <w:pStyle w:val="Compact"/>
        <w:numPr>
          <w:ilvl w:val="0"/>
          <w:numId w:val="1005"/>
        </w:numPr>
      </w:pPr>
      <w:r>
        <w:t xml:space="preserve">Emitir</w:t>
      </w:r>
      <w:r>
        <w:t xml:space="preserve"> </w:t>
      </w:r>
      <w:r>
        <w:rPr>
          <w:rStyle w:val="VerbatimChar"/>
        </w:rPr>
        <w:t xml:space="preserve">TreatmentCreated</w:t>
      </w:r>
      <w:r>
        <w:t xml:space="preserve">.</w:t>
      </w:r>
    </w:p>
    <w:bookmarkEnd w:id="26"/>
    <w:bookmarkStart w:id="27" w:name="resultado"/>
    <w:p>
      <w:pPr>
        <w:pStyle w:val="Heading3"/>
      </w:pPr>
      <w:r>
        <w:t xml:space="preserve">Resultado</w:t>
      </w:r>
    </w:p>
    <w:p>
      <w:pPr>
        <w:pStyle w:val="FirstParagraph"/>
      </w:pPr>
      <w:r>
        <w:t xml:space="preserve">Estado inicial:</w:t>
      </w:r>
    </w:p>
    <w:p>
      <w:pPr>
        <w:pStyle w:val="BodyText"/>
      </w:pPr>
      <w:r>
        <w:rPr>
          <w:rStyle w:val="VerbatimChar"/>
        </w:rPr>
        <w:t xml:space="preserve">DRAFT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0" w:name="uc002-actualizar-tratamiento"/>
    <w:p>
      <w:pPr>
        <w:pStyle w:val="Heading1"/>
      </w:pPr>
      <w:r>
        <w:t xml:space="preserve">UC002 — Actualizar Tratamiento</w:t>
      </w:r>
    </w:p>
    <w:p>
      <w:pPr>
        <w:pStyle w:val="FirstParagraph"/>
      </w:pPr>
      <w:r>
        <w:t xml:space="preserve">Permite modificar la información general.</w:t>
      </w:r>
    </w:p>
    <w:p>
      <w:pPr>
        <w:pStyle w:val="BodyText"/>
      </w:pPr>
      <w:r>
        <w:t xml:space="preserve">No podrán modificarse directamente:</w:t>
      </w:r>
    </w:p>
    <w:p>
      <w:pPr>
        <w:pStyle w:val="Compact"/>
        <w:numPr>
          <w:ilvl w:val="0"/>
          <w:numId w:val="1006"/>
        </w:numPr>
      </w:pPr>
      <w:r>
        <w:t xml:space="preserve">id</w:t>
      </w:r>
    </w:p>
    <w:p>
      <w:pPr>
        <w:pStyle w:val="Compact"/>
        <w:numPr>
          <w:ilvl w:val="0"/>
          <w:numId w:val="1006"/>
        </w:numPr>
      </w:pPr>
      <w:r>
        <w:t xml:space="preserve">organizationId</w:t>
      </w:r>
    </w:p>
    <w:p>
      <w:pPr>
        <w:pStyle w:val="Compact"/>
        <w:numPr>
          <w:ilvl w:val="0"/>
          <w:numId w:val="1006"/>
        </w:numPr>
      </w:pPr>
      <w:r>
        <w:t xml:space="preserve">createdAt</w:t>
      </w:r>
    </w:p>
    <w:p>
      <w:pPr>
        <w:pStyle w:val="Compact"/>
        <w:numPr>
          <w:ilvl w:val="0"/>
          <w:numId w:val="1006"/>
        </w:numPr>
      </w:pPr>
      <w:r>
        <w:t xml:space="preserve">createdBy</w:t>
      </w:r>
    </w:p>
    <w:p>
      <w:pPr>
        <w:pStyle w:val="FirstParagraph"/>
      </w:pPr>
      <w:r>
        <w:t xml:space="preserve">Toda modificación quedará registrada.</w:t>
      </w:r>
    </w:p>
    <w:p>
      <w:r>
        <w:pict>
          <v:rect style="width:0;height:1.5pt" o:hralign="center" o:hrstd="t" o:hr="t"/>
        </w:pict>
      </w:r>
    </w:p>
    <w:bookmarkEnd w:id="30"/>
    <w:bookmarkStart w:id="33" w:name="uc003-activar-tratamiento"/>
    <w:p>
      <w:pPr>
        <w:pStyle w:val="Heading1"/>
      </w:pPr>
      <w:r>
        <w:t xml:space="preserve">UC003 — Activar Tratamiento</w:t>
      </w:r>
    </w:p>
    <w:bookmarkStart w:id="32" w:name="objetivo-2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Publicar un tratamiento para que pueda utilizarse.</w:t>
      </w:r>
    </w:p>
    <w:bookmarkStart w:id="31" w:name="validaciones"/>
    <w:p>
      <w:pPr>
        <w:pStyle w:val="Heading3"/>
      </w:pPr>
      <w:r>
        <w:t xml:space="preserve">Validaciones</w:t>
      </w:r>
    </w:p>
    <w:p>
      <w:pPr>
        <w:pStyle w:val="Compact"/>
        <w:numPr>
          <w:ilvl w:val="0"/>
          <w:numId w:val="1007"/>
        </w:numPr>
      </w:pPr>
      <w:r>
        <w:t xml:space="preserve">Debe existir al menos una variante.</w:t>
      </w:r>
    </w:p>
    <w:p>
      <w:pPr>
        <w:pStyle w:val="Compact"/>
        <w:numPr>
          <w:ilvl w:val="0"/>
          <w:numId w:val="1007"/>
        </w:numPr>
      </w:pPr>
      <w:r>
        <w:t xml:space="preserve">Debe existir un protocolo vigente.</w:t>
      </w:r>
    </w:p>
    <w:p>
      <w:pPr>
        <w:pStyle w:val="Compact"/>
        <w:numPr>
          <w:ilvl w:val="0"/>
          <w:numId w:val="1007"/>
        </w:numPr>
      </w:pPr>
      <w:r>
        <w:t xml:space="preserve">Debe tener duración definida.</w:t>
      </w:r>
    </w:p>
    <w:p>
      <w:pPr>
        <w:pStyle w:val="Compact"/>
        <w:numPr>
          <w:ilvl w:val="0"/>
          <w:numId w:val="1007"/>
        </w:numPr>
      </w:pPr>
      <w:r>
        <w:t xml:space="preserve">Debe tener precio base configurado.</w:t>
      </w:r>
    </w:p>
    <w:p>
      <w:pPr>
        <w:pStyle w:val="FirstParagraph"/>
      </w:pPr>
      <w:r>
        <w:t xml:space="preserve">Resultado:</w:t>
      </w:r>
    </w:p>
    <w:p>
      <w:pPr>
        <w:pStyle w:val="BodyText"/>
      </w:pPr>
      <w:r>
        <w:t xml:space="preserve">Estado:</w:t>
      </w:r>
    </w:p>
    <w:p>
      <w:pPr>
        <w:pStyle w:val="BodyText"/>
      </w:pPr>
      <w:r>
        <w:rPr>
          <w:rStyle w:val="VerbatimChar"/>
        </w:rPr>
        <w:t xml:space="preserve">ACTIVE</w:t>
      </w:r>
    </w:p>
    <w:p>
      <w:pPr>
        <w:pStyle w:val="BodyText"/>
      </w:pPr>
      <w:r>
        <w:t xml:space="preserve">Evento:</w:t>
      </w:r>
    </w:p>
    <w:p>
      <w:pPr>
        <w:pStyle w:val="BodyText"/>
      </w:pPr>
      <w:r>
        <w:rPr>
          <w:rStyle w:val="VerbatimChar"/>
        </w:rPr>
        <w:t xml:space="preserve">TreatmentActivated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4" w:name="uc004-desactivar-tratamiento"/>
    <w:p>
      <w:pPr>
        <w:pStyle w:val="Heading1"/>
      </w:pPr>
      <w:r>
        <w:t xml:space="preserve">UC004 — Desactivar Tratamiento</w:t>
      </w:r>
    </w:p>
    <w:p>
      <w:pPr>
        <w:pStyle w:val="FirstParagraph"/>
      </w:pPr>
      <w:r>
        <w:t xml:space="preserve">Permite impedir nuevas reservas.</w:t>
      </w:r>
    </w:p>
    <w:p>
      <w:pPr>
        <w:pStyle w:val="BodyText"/>
      </w:pPr>
      <w:r>
        <w:t xml:space="preserve">Las citas existentes no se modificarán.</w:t>
      </w:r>
    </w:p>
    <w:p>
      <w:pPr>
        <w:pStyle w:val="BodyText"/>
      </w:pPr>
      <w:r>
        <w:t xml:space="preserve">Resultado:</w:t>
      </w:r>
    </w:p>
    <w:p>
      <w:pPr>
        <w:pStyle w:val="BodyText"/>
      </w:pPr>
      <w:r>
        <w:t xml:space="preserve">Estado:</w:t>
      </w:r>
    </w:p>
    <w:p>
      <w:pPr>
        <w:pStyle w:val="BodyText"/>
      </w:pPr>
      <w:r>
        <w:rPr>
          <w:rStyle w:val="VerbatimChar"/>
        </w:rPr>
        <w:t xml:space="preserve">INACTIVE</w:t>
      </w:r>
    </w:p>
    <w:p>
      <w:r>
        <w:pict>
          <v:rect style="width:0;height:1.5pt" o:hralign="center" o:hrstd="t" o:hr="t"/>
        </w:pict>
      </w:r>
    </w:p>
    <w:bookmarkEnd w:id="34"/>
    <w:bookmarkStart w:id="35" w:name="uc005-archivar-tratamiento"/>
    <w:p>
      <w:pPr>
        <w:pStyle w:val="Heading1"/>
      </w:pPr>
      <w:r>
        <w:t xml:space="preserve">UC005 — Archivar Tratamiento</w:t>
      </w:r>
    </w:p>
    <w:p>
      <w:pPr>
        <w:pStyle w:val="FirstParagraph"/>
      </w:pPr>
      <w:r>
        <w:t xml:space="preserve">Archiva el tratamiento manteniendo su historial.</w:t>
      </w:r>
    </w:p>
    <w:p>
      <w:pPr>
        <w:pStyle w:val="BodyText"/>
      </w:pPr>
      <w:r>
        <w:t xml:space="preserve">No se eliminarán datos.</w:t>
      </w:r>
    </w:p>
    <w:p>
      <w:r>
        <w:pict>
          <v:rect style="width:0;height:1.5pt" o:hralign="center" o:hrstd="t" o:hr="t"/>
        </w:pict>
      </w:r>
    </w:p>
    <w:bookmarkEnd w:id="35"/>
    <w:bookmarkStart w:id="36" w:name="uc006-gestionar-variantes"/>
    <w:p>
      <w:pPr>
        <w:pStyle w:val="Heading1"/>
      </w:pPr>
      <w:r>
        <w:t xml:space="preserve">UC006 — Gestionar Variantes</w:t>
      </w:r>
    </w:p>
    <w:p>
      <w:pPr>
        <w:pStyle w:val="FirstParagraph"/>
      </w:pPr>
      <w:r>
        <w:t xml:space="preserve">Permite:</w:t>
      </w:r>
    </w:p>
    <w:p>
      <w:pPr>
        <w:pStyle w:val="Compact"/>
        <w:numPr>
          <w:ilvl w:val="0"/>
          <w:numId w:val="1008"/>
        </w:numPr>
      </w:pPr>
      <w:r>
        <w:t xml:space="preserve">Crear variante.</w:t>
      </w:r>
    </w:p>
    <w:p>
      <w:pPr>
        <w:pStyle w:val="Compact"/>
        <w:numPr>
          <w:ilvl w:val="0"/>
          <w:numId w:val="1008"/>
        </w:numPr>
      </w:pPr>
      <w:r>
        <w:t xml:space="preserve">Editar variante.</w:t>
      </w:r>
    </w:p>
    <w:p>
      <w:pPr>
        <w:pStyle w:val="Compact"/>
        <w:numPr>
          <w:ilvl w:val="0"/>
          <w:numId w:val="1008"/>
        </w:numPr>
      </w:pPr>
      <w:r>
        <w:t xml:space="preserve">Desactivar variante.</w:t>
      </w:r>
    </w:p>
    <w:p>
      <w:pPr>
        <w:pStyle w:val="Compact"/>
        <w:numPr>
          <w:ilvl w:val="0"/>
          <w:numId w:val="1008"/>
        </w:numPr>
      </w:pPr>
      <w:r>
        <w:t xml:space="preserve">Marcar variante por defecto.</w:t>
      </w:r>
    </w:p>
    <w:p>
      <w:pPr>
        <w:pStyle w:val="FirstParagraph"/>
      </w:pPr>
      <w:r>
        <w:t xml:space="preserve">Cada variante deberá pertenecer a un único tratamiento.</w:t>
      </w:r>
    </w:p>
    <w:p>
      <w:r>
        <w:pict>
          <v:rect style="width:0;height:1.5pt" o:hralign="center" o:hrstd="t" o:hr="t"/>
        </w:pict>
      </w:r>
    </w:p>
    <w:bookmarkEnd w:id="36"/>
    <w:bookmarkStart w:id="37" w:name="uc007-versionar-protocolo"/>
    <w:p>
      <w:pPr>
        <w:pStyle w:val="Heading1"/>
      </w:pPr>
      <w:r>
        <w:t xml:space="preserve">UC007 — Versionar Protocolo</w:t>
      </w:r>
    </w:p>
    <w:p>
      <w:pPr>
        <w:pStyle w:val="FirstParagraph"/>
      </w:pPr>
      <w:r>
        <w:t xml:space="preserve">Cada modificación clínica relevante generará una nueva versión.</w:t>
      </w:r>
    </w:p>
    <w:p>
      <w:pPr>
        <w:pStyle w:val="BodyText"/>
      </w:pPr>
      <w:r>
        <w:t xml:space="preserve">Se conservarán:</w:t>
      </w:r>
    </w:p>
    <w:p>
      <w:pPr>
        <w:pStyle w:val="Compact"/>
        <w:numPr>
          <w:ilvl w:val="0"/>
          <w:numId w:val="1009"/>
        </w:numPr>
      </w:pPr>
      <w:r>
        <w:t xml:space="preserve">Fecha.</w:t>
      </w:r>
    </w:p>
    <w:p>
      <w:pPr>
        <w:pStyle w:val="Compact"/>
        <w:numPr>
          <w:ilvl w:val="0"/>
          <w:numId w:val="1009"/>
        </w:numPr>
      </w:pPr>
      <w:r>
        <w:t xml:space="preserve">Autor.</w:t>
      </w:r>
    </w:p>
    <w:p>
      <w:pPr>
        <w:pStyle w:val="Compact"/>
        <w:numPr>
          <w:ilvl w:val="0"/>
          <w:numId w:val="1009"/>
        </w:numPr>
      </w:pPr>
      <w:r>
        <w:t xml:space="preserve">Número de versión.</w:t>
      </w:r>
    </w:p>
    <w:p>
      <w:pPr>
        <w:pStyle w:val="Compact"/>
        <w:numPr>
          <w:ilvl w:val="0"/>
          <w:numId w:val="1009"/>
        </w:numPr>
      </w:pPr>
      <w:r>
        <w:t xml:space="preserve">Motivo del cambio.</w:t>
      </w:r>
    </w:p>
    <w:p>
      <w:pPr>
        <w:pStyle w:val="FirstParagraph"/>
      </w:pPr>
      <w:r>
        <w:t xml:space="preserve">Las versiones anteriores permanecerán disponibles para auditoría.</w:t>
      </w:r>
    </w:p>
    <w:p>
      <w:r>
        <w:pict>
          <v:rect style="width:0;height:1.5pt" o:hralign="center" o:hrstd="t" o:hr="t"/>
        </w:pict>
      </w:r>
    </w:p>
    <w:bookmarkEnd w:id="37"/>
    <w:bookmarkStart w:id="38" w:name="uc008-asociar-especialistas"/>
    <w:p>
      <w:pPr>
        <w:pStyle w:val="Heading1"/>
      </w:pPr>
      <w:r>
        <w:t xml:space="preserve">UC008 — Asociar Especialistas</w:t>
      </w:r>
    </w:p>
    <w:p>
      <w:pPr>
        <w:pStyle w:val="FirstParagraph"/>
      </w:pPr>
      <w:r>
        <w:t xml:space="preserve">Permite habilitar especialistas para un tratamiento.</w:t>
      </w:r>
    </w:p>
    <w:p>
      <w:pPr>
        <w:pStyle w:val="BodyText"/>
      </w:pPr>
      <w:r>
        <w:t xml:space="preserve">Validaciones:</w:t>
      </w:r>
    </w:p>
    <w:p>
      <w:pPr>
        <w:pStyle w:val="Compact"/>
        <w:numPr>
          <w:ilvl w:val="0"/>
          <w:numId w:val="1010"/>
        </w:numPr>
      </w:pPr>
      <w:r>
        <w:t xml:space="preserve">El especialista debe estar activo.</w:t>
      </w:r>
    </w:p>
    <w:p>
      <w:pPr>
        <w:pStyle w:val="Compact"/>
        <w:numPr>
          <w:ilvl w:val="0"/>
          <w:numId w:val="1010"/>
        </w:numPr>
      </w:pPr>
      <w:r>
        <w:t xml:space="preserve">Debe cumplir los requisitos definidos por la organización.</w:t>
      </w:r>
    </w:p>
    <w:p>
      <w:r>
        <w:pict>
          <v:rect style="width:0;height:1.5pt" o:hralign="center" o:hrstd="t" o:hr="t"/>
        </w:pict>
      </w:r>
    </w:p>
    <w:bookmarkEnd w:id="38"/>
    <w:bookmarkStart w:id="39" w:name="uc009-asociar-productos"/>
    <w:p>
      <w:pPr>
        <w:pStyle w:val="Heading1"/>
      </w:pPr>
      <w:r>
        <w:t xml:space="preserve">UC009 — Asociar Productos</w:t>
      </w:r>
    </w:p>
    <w:p>
      <w:pPr>
        <w:pStyle w:val="FirstParagraph"/>
      </w:pPr>
      <w:r>
        <w:t xml:space="preserve">Relaciona productos con el tratamiento.</w:t>
      </w:r>
    </w:p>
    <w:p>
      <w:pPr>
        <w:pStyle w:val="BodyText"/>
      </w:pPr>
      <w:r>
        <w:t xml:space="preserve">Estos productos podrán utilizarse para:</w:t>
      </w:r>
    </w:p>
    <w:p>
      <w:pPr>
        <w:pStyle w:val="Compact"/>
        <w:numPr>
          <w:ilvl w:val="0"/>
          <w:numId w:val="1011"/>
        </w:numPr>
      </w:pPr>
      <w:r>
        <w:t xml:space="preserve">Venta recomendada.</w:t>
      </w:r>
    </w:p>
    <w:p>
      <w:pPr>
        <w:pStyle w:val="Compact"/>
        <w:numPr>
          <w:ilvl w:val="0"/>
          <w:numId w:val="1011"/>
        </w:numPr>
      </w:pPr>
      <w:r>
        <w:t xml:space="preserve">Consumo operativo.</w:t>
      </w:r>
    </w:p>
    <w:p>
      <w:pPr>
        <w:pStyle w:val="Compact"/>
        <w:numPr>
          <w:ilvl w:val="0"/>
          <w:numId w:val="1011"/>
        </w:numPr>
      </w:pPr>
      <w:r>
        <w:t xml:space="preserve">Cuidados posteriores.</w:t>
      </w:r>
    </w:p>
    <w:p>
      <w:pPr>
        <w:pStyle w:val="FirstParagraph"/>
      </w:pPr>
      <w:r>
        <w:t xml:space="preserve">La gestión del inventario pertenece a otro dominio.</w:t>
      </w:r>
    </w:p>
    <w:p>
      <w:r>
        <w:pict>
          <v:rect style="width:0;height:1.5pt" o:hralign="center" o:hrstd="t" o:hr="t"/>
        </w:pict>
      </w:r>
    </w:p>
    <w:bookmarkEnd w:id="39"/>
    <w:bookmarkStart w:id="40" w:name="uc010-consultar-tratamientos"/>
    <w:p>
      <w:pPr>
        <w:pStyle w:val="Heading1"/>
      </w:pPr>
      <w:r>
        <w:t xml:space="preserve">UC010 — Consultar Tratamientos</w:t>
      </w:r>
    </w:p>
    <w:p>
      <w:pPr>
        <w:pStyle w:val="FirstParagraph"/>
      </w:pPr>
      <w:r>
        <w:t xml:space="preserve">Permite búsquedas mediante:</w:t>
      </w:r>
    </w:p>
    <w:p>
      <w:pPr>
        <w:pStyle w:val="Compact"/>
        <w:numPr>
          <w:ilvl w:val="0"/>
          <w:numId w:val="1012"/>
        </w:numPr>
      </w:pPr>
      <w:r>
        <w:t xml:space="preserve">Nombre.</w:t>
      </w:r>
    </w:p>
    <w:p>
      <w:pPr>
        <w:pStyle w:val="Compact"/>
        <w:numPr>
          <w:ilvl w:val="0"/>
          <w:numId w:val="1012"/>
        </w:numPr>
      </w:pPr>
      <w:r>
        <w:t xml:space="preserve">Categoría.</w:t>
      </w:r>
    </w:p>
    <w:p>
      <w:pPr>
        <w:pStyle w:val="Compact"/>
        <w:numPr>
          <w:ilvl w:val="0"/>
          <w:numId w:val="1012"/>
        </w:numPr>
      </w:pPr>
      <w:r>
        <w:t xml:space="preserve">Estado.</w:t>
      </w:r>
    </w:p>
    <w:p>
      <w:pPr>
        <w:pStyle w:val="Compact"/>
        <w:numPr>
          <w:ilvl w:val="0"/>
          <w:numId w:val="1012"/>
        </w:numPr>
      </w:pPr>
      <w:r>
        <w:t xml:space="preserve">Etiquetas.</w:t>
      </w:r>
    </w:p>
    <w:p>
      <w:pPr>
        <w:pStyle w:val="Compact"/>
        <w:numPr>
          <w:ilvl w:val="0"/>
          <w:numId w:val="1012"/>
        </w:numPr>
      </w:pPr>
      <w:r>
        <w:t xml:space="preserve">Tipo de piel.</w:t>
      </w:r>
    </w:p>
    <w:p>
      <w:pPr>
        <w:pStyle w:val="Compact"/>
        <w:numPr>
          <w:ilvl w:val="0"/>
          <w:numId w:val="1012"/>
        </w:numPr>
      </w:pPr>
      <w:r>
        <w:t xml:space="preserve">Problema cutáneo.</w:t>
      </w:r>
    </w:p>
    <w:p>
      <w:pPr>
        <w:pStyle w:val="FirstParagraph"/>
      </w:pPr>
      <w:r>
        <w:t xml:space="preserve">Las consultas soportarán paginación y ordenamiento.</w:t>
      </w:r>
    </w:p>
    <w:p>
      <w:r>
        <w:pict>
          <v:rect style="width:0;height:1.5pt" o:hralign="center" o:hrstd="t" o:hr="t"/>
        </w:pict>
      </w:r>
    </w:p>
    <w:bookmarkEnd w:id="40"/>
    <w:bookmarkStart w:id="41" w:name="uc011-obtener-recomendaciones"/>
    <w:p>
      <w:pPr>
        <w:pStyle w:val="Heading1"/>
      </w:pPr>
      <w:r>
        <w:t xml:space="preserve">UC011 — Obtener Recomendaciones</w:t>
      </w:r>
    </w:p>
    <w:p>
      <w:pPr>
        <w:pStyle w:val="FirstParagraph"/>
      </w:pPr>
      <w:r>
        <w:t xml:space="preserve">Devuelve tratamientos relacionados.</w:t>
      </w:r>
    </w:p>
    <w:p>
      <w:pPr>
        <w:pStyle w:val="BodyText"/>
      </w:pPr>
      <w:r>
        <w:t xml:space="preserve">Podrá utilizar:</w:t>
      </w:r>
    </w:p>
    <w:p>
      <w:pPr>
        <w:pStyle w:val="Compact"/>
        <w:numPr>
          <w:ilvl w:val="0"/>
          <w:numId w:val="1013"/>
        </w:numPr>
      </w:pPr>
      <w:r>
        <w:t xml:space="preserve">Reglas configuradas.</w:t>
      </w:r>
    </w:p>
    <w:p>
      <w:pPr>
        <w:pStyle w:val="Compact"/>
        <w:numPr>
          <w:ilvl w:val="0"/>
          <w:numId w:val="1013"/>
        </w:numPr>
      </w:pPr>
      <w:r>
        <w:t xml:space="preserve">Recomendaciones manuales.</w:t>
      </w:r>
    </w:p>
    <w:p>
      <w:pPr>
        <w:pStyle w:val="Compact"/>
        <w:numPr>
          <w:ilvl w:val="0"/>
          <w:numId w:val="1013"/>
        </w:numPr>
      </w:pPr>
      <w:r>
        <w:t xml:space="preserve">IA (en fases futuras).</w:t>
      </w:r>
    </w:p>
    <w:p>
      <w:r>
        <w:pict>
          <v:rect style="width:0;height:1.5pt" o:hralign="center" o:hrstd="t" o:hr="t"/>
        </w:pict>
      </w:r>
    </w:p>
    <w:bookmarkEnd w:id="41"/>
    <w:bookmarkStart w:id="42" w:name="uc012-consultar-historial"/>
    <w:p>
      <w:pPr>
        <w:pStyle w:val="Heading1"/>
      </w:pPr>
      <w:r>
        <w:t xml:space="preserve">UC012 — Consultar Historial</w:t>
      </w:r>
    </w:p>
    <w:p>
      <w:pPr>
        <w:pStyle w:val="FirstParagraph"/>
      </w:pPr>
      <w:r>
        <w:t xml:space="preserve">Permite visualizar:</w:t>
      </w:r>
    </w:p>
    <w:p>
      <w:pPr>
        <w:pStyle w:val="Compact"/>
        <w:numPr>
          <w:ilvl w:val="0"/>
          <w:numId w:val="1014"/>
        </w:numPr>
      </w:pPr>
      <w:r>
        <w:t xml:space="preserve">Cambios.</w:t>
      </w:r>
    </w:p>
    <w:p>
      <w:pPr>
        <w:pStyle w:val="Compact"/>
        <w:numPr>
          <w:ilvl w:val="0"/>
          <w:numId w:val="1014"/>
        </w:numPr>
      </w:pPr>
      <w:r>
        <w:t xml:space="preserve">Versiones.</w:t>
      </w:r>
    </w:p>
    <w:p>
      <w:pPr>
        <w:pStyle w:val="Compact"/>
        <w:numPr>
          <w:ilvl w:val="0"/>
          <w:numId w:val="1014"/>
        </w:numPr>
      </w:pPr>
      <w:r>
        <w:t xml:space="preserve">Activaciones.</w:t>
      </w:r>
    </w:p>
    <w:p>
      <w:pPr>
        <w:pStyle w:val="Compact"/>
        <w:numPr>
          <w:ilvl w:val="0"/>
          <w:numId w:val="1014"/>
        </w:numPr>
      </w:pPr>
      <w:r>
        <w:t xml:space="preserve">Desactivaciones.</w:t>
      </w:r>
    </w:p>
    <w:p>
      <w:pPr>
        <w:pStyle w:val="Compact"/>
        <w:numPr>
          <w:ilvl w:val="0"/>
          <w:numId w:val="1014"/>
        </w:numPr>
      </w:pPr>
      <w:r>
        <w:t xml:space="preserve">Protocolos anteriores.</w:t>
      </w:r>
    </w:p>
    <w:p>
      <w:r>
        <w:pict>
          <v:rect style="width:0;height:1.5pt" o:hralign="center" o:hrstd="t" o:hr="t"/>
        </w:pict>
      </w:r>
    </w:p>
    <w:bookmarkEnd w:id="42"/>
    <w:bookmarkStart w:id="43" w:name="eventos-del-dominio"/>
    <w:p>
      <w:pPr>
        <w:pStyle w:val="Heading1"/>
      </w:pPr>
      <w:r>
        <w:t xml:space="preserve">Eventos del Dominio</w:t>
      </w:r>
    </w:p>
    <w:p>
      <w:pPr>
        <w:pStyle w:val="FirstParagraph"/>
      </w:pPr>
      <w:r>
        <w:t xml:space="preserve">El dominio emitirá:</w:t>
      </w:r>
    </w:p>
    <w:p>
      <w:pPr>
        <w:pStyle w:val="Compact"/>
        <w:numPr>
          <w:ilvl w:val="0"/>
          <w:numId w:val="1015"/>
        </w:numPr>
      </w:pPr>
      <w:r>
        <w:t xml:space="preserve">TreatmentCreated</w:t>
      </w:r>
    </w:p>
    <w:p>
      <w:pPr>
        <w:pStyle w:val="Compact"/>
        <w:numPr>
          <w:ilvl w:val="0"/>
          <w:numId w:val="1015"/>
        </w:numPr>
      </w:pPr>
      <w:r>
        <w:t xml:space="preserve">TreatmentUpdated</w:t>
      </w:r>
    </w:p>
    <w:p>
      <w:pPr>
        <w:pStyle w:val="Compact"/>
        <w:numPr>
          <w:ilvl w:val="0"/>
          <w:numId w:val="1015"/>
        </w:numPr>
      </w:pPr>
      <w:r>
        <w:t xml:space="preserve">TreatmentActivated</w:t>
      </w:r>
    </w:p>
    <w:p>
      <w:pPr>
        <w:pStyle w:val="Compact"/>
        <w:numPr>
          <w:ilvl w:val="0"/>
          <w:numId w:val="1015"/>
        </w:numPr>
      </w:pPr>
      <w:r>
        <w:t xml:space="preserve">TreatmentDeactivated</w:t>
      </w:r>
    </w:p>
    <w:p>
      <w:pPr>
        <w:pStyle w:val="Compact"/>
        <w:numPr>
          <w:ilvl w:val="0"/>
          <w:numId w:val="1015"/>
        </w:numPr>
      </w:pPr>
      <w:r>
        <w:t xml:space="preserve">TreatmentArchived</w:t>
      </w:r>
    </w:p>
    <w:p>
      <w:pPr>
        <w:pStyle w:val="Compact"/>
        <w:numPr>
          <w:ilvl w:val="0"/>
          <w:numId w:val="1015"/>
        </w:numPr>
      </w:pPr>
      <w:r>
        <w:t xml:space="preserve">TreatmentVariantCreated</w:t>
      </w:r>
    </w:p>
    <w:p>
      <w:pPr>
        <w:pStyle w:val="Compact"/>
        <w:numPr>
          <w:ilvl w:val="0"/>
          <w:numId w:val="1015"/>
        </w:numPr>
      </w:pPr>
      <w:r>
        <w:t xml:space="preserve">TreatmentProtocolVersioned</w:t>
      </w:r>
    </w:p>
    <w:p>
      <w:pPr>
        <w:pStyle w:val="Compact"/>
        <w:numPr>
          <w:ilvl w:val="0"/>
          <w:numId w:val="1015"/>
        </w:numPr>
      </w:pPr>
      <w:r>
        <w:t xml:space="preserve">TreatmentProductsUpdated</w:t>
      </w:r>
    </w:p>
    <w:p>
      <w:pPr>
        <w:pStyle w:val="FirstParagraph"/>
      </w:pPr>
      <w:r>
        <w:t xml:space="preserve">Estos eventos podrán ser consumidos por:</w:t>
      </w:r>
    </w:p>
    <w:p>
      <w:pPr>
        <w:pStyle w:val="Compact"/>
        <w:numPr>
          <w:ilvl w:val="0"/>
          <w:numId w:val="1016"/>
        </w:numPr>
      </w:pPr>
      <w:r>
        <w:t xml:space="preserve">Appointments.</w:t>
      </w:r>
    </w:p>
    <w:p>
      <w:pPr>
        <w:pStyle w:val="Compact"/>
        <w:numPr>
          <w:ilvl w:val="0"/>
          <w:numId w:val="1016"/>
        </w:numPr>
      </w:pPr>
      <w:r>
        <w:t xml:space="preserve">CRM.</w:t>
      </w:r>
    </w:p>
    <w:p>
      <w:pPr>
        <w:pStyle w:val="Compact"/>
        <w:numPr>
          <w:ilvl w:val="0"/>
          <w:numId w:val="1016"/>
        </w:numPr>
      </w:pPr>
      <w:r>
        <w:t xml:space="preserve">Analytics.</w:t>
      </w:r>
    </w:p>
    <w:p>
      <w:pPr>
        <w:pStyle w:val="Compact"/>
        <w:numPr>
          <w:ilvl w:val="0"/>
          <w:numId w:val="1016"/>
        </w:numPr>
      </w:pPr>
      <w:r>
        <w:t xml:space="preserve">Marketing.</w:t>
      </w:r>
    </w:p>
    <w:p>
      <w:pPr>
        <w:pStyle w:val="Compact"/>
        <w:numPr>
          <w:ilvl w:val="0"/>
          <w:numId w:val="1016"/>
        </w:numPr>
      </w:pPr>
      <w:r>
        <w:t xml:space="preserve">AI.</w:t>
      </w:r>
    </w:p>
    <w:p>
      <w:r>
        <w:pict>
          <v:rect style="width:0;height:1.5pt" o:hralign="center" o:hrstd="t" o:hr="t"/>
        </w:pict>
      </w:r>
    </w:p>
    <w:bookmarkEnd w:id="43"/>
    <w:bookmarkStart w:id="50" w:name="integraciones"/>
    <w:p>
      <w:pPr>
        <w:pStyle w:val="Heading1"/>
      </w:pPr>
      <w:r>
        <w:t xml:space="preserve">Integraciones</w:t>
      </w:r>
    </w:p>
    <w:bookmarkStart w:id="44" w:name="appointments"/>
    <w:p>
      <w:pPr>
        <w:pStyle w:val="Heading2"/>
      </w:pPr>
      <w:r>
        <w:t xml:space="preserve">Appointments</w:t>
      </w:r>
    </w:p>
    <w:p>
      <w:pPr>
        <w:pStyle w:val="FirstParagraph"/>
      </w:pPr>
      <w:r>
        <w:t xml:space="preserve">Consulta tratamientos activos y sus variantes.</w:t>
      </w:r>
    </w:p>
    <w:p>
      <w:r>
        <w:pict>
          <v:rect style="width:0;height:1.5pt" o:hralign="center" o:hrstd="t" o:hr="t"/>
        </w:pict>
      </w:r>
    </w:p>
    <w:bookmarkEnd w:id="44"/>
    <w:bookmarkStart w:id="45" w:name="crm"/>
    <w:p>
      <w:pPr>
        <w:pStyle w:val="Heading2"/>
      </w:pPr>
      <w:r>
        <w:t xml:space="preserve">CRM</w:t>
      </w:r>
    </w:p>
    <w:p>
      <w:pPr>
        <w:pStyle w:val="FirstParagraph"/>
      </w:pPr>
      <w:r>
        <w:t xml:space="preserve">Analiza demanda y segmentación.</w:t>
      </w:r>
    </w:p>
    <w:p>
      <w:r>
        <w:pict>
          <v:rect style="width:0;height:1.5pt" o:hralign="center" o:hrstd="t" o:hr="t"/>
        </w:pict>
      </w:r>
    </w:p>
    <w:bookmarkEnd w:id="45"/>
    <w:bookmarkStart w:id="46" w:name="portal-público"/>
    <w:p>
      <w:pPr>
        <w:pStyle w:val="Heading2"/>
      </w:pPr>
      <w:r>
        <w:t xml:space="preserve">Portal Público</w:t>
      </w:r>
    </w:p>
    <w:p>
      <w:pPr>
        <w:pStyle w:val="FirstParagraph"/>
      </w:pPr>
      <w:r>
        <w:t xml:space="preserve">Muestra tratamientos disponibles.</w:t>
      </w:r>
    </w:p>
    <w:p>
      <w:r>
        <w:pict>
          <v:rect style="width:0;height:1.5pt" o:hralign="center" o:hrstd="t" o:hr="t"/>
        </w:pict>
      </w:r>
    </w:p>
    <w:bookmarkEnd w:id="46"/>
    <w:bookmarkStart w:id="47" w:name="e-commerce"/>
    <w:p>
      <w:pPr>
        <w:pStyle w:val="Heading2"/>
      </w:pPr>
      <w:r>
        <w:t xml:space="preserve">E-commerce</w:t>
      </w:r>
    </w:p>
    <w:p>
      <w:pPr>
        <w:pStyle w:val="FirstParagraph"/>
      </w:pPr>
      <w:r>
        <w:t xml:space="preserve">Relaciona tratamientos con productos.</w:t>
      </w:r>
    </w:p>
    <w:p>
      <w:r>
        <w:pict>
          <v:rect style="width:0;height:1.5pt" o:hralign="center" o:hrstd="t" o:hr="t"/>
        </w:pict>
      </w:r>
    </w:p>
    <w:bookmarkEnd w:id="47"/>
    <w:bookmarkStart w:id="48" w:name="analytics"/>
    <w:p>
      <w:pPr>
        <w:pStyle w:val="Heading2"/>
      </w:pPr>
      <w:r>
        <w:t xml:space="preserve">Analytics</w:t>
      </w:r>
    </w:p>
    <w:p>
      <w:pPr>
        <w:pStyle w:val="FirstParagraph"/>
      </w:pPr>
      <w:r>
        <w:t xml:space="preserve">Calcula métricas de uso y rentabilidad.</w:t>
      </w:r>
    </w:p>
    <w:p>
      <w:r>
        <w:pict>
          <v:rect style="width:0;height:1.5pt" o:hralign="center" o:hrstd="t" o:hr="t"/>
        </w:pict>
      </w:r>
    </w:p>
    <w:bookmarkEnd w:id="48"/>
    <w:bookmarkStart w:id="49" w:name="ai"/>
    <w:p>
      <w:pPr>
        <w:pStyle w:val="Heading2"/>
      </w:pPr>
      <w:r>
        <w:t xml:space="preserve">AI</w:t>
      </w:r>
    </w:p>
    <w:p>
      <w:pPr>
        <w:pStyle w:val="FirstParagraph"/>
      </w:pPr>
      <w:r>
        <w:t xml:space="preserve">Genera recomendaciones personalizadas y predicciones.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seguridad"/>
    <w:p>
      <w:pPr>
        <w:pStyle w:val="Heading1"/>
      </w:pPr>
      <w:r>
        <w:t xml:space="preserve">Seguridad</w:t>
      </w:r>
    </w:p>
    <w:p>
      <w:pPr>
        <w:pStyle w:val="FirstParagraph"/>
      </w:pPr>
      <w:r>
        <w:t xml:space="preserve">Todos los casos de uso deberán:</w:t>
      </w:r>
    </w:p>
    <w:p>
      <w:pPr>
        <w:pStyle w:val="Compact"/>
        <w:numPr>
          <w:ilvl w:val="0"/>
          <w:numId w:val="1017"/>
        </w:numPr>
      </w:pPr>
      <w:r>
        <w:t xml:space="preserve">Validar autenticación.</w:t>
      </w:r>
    </w:p>
    <w:p>
      <w:pPr>
        <w:pStyle w:val="Compact"/>
        <w:numPr>
          <w:ilvl w:val="0"/>
          <w:numId w:val="1017"/>
        </w:numPr>
      </w:pPr>
      <w:r>
        <w:t xml:space="preserve">Validar organización.</w:t>
      </w:r>
    </w:p>
    <w:p>
      <w:pPr>
        <w:pStyle w:val="Compact"/>
        <w:numPr>
          <w:ilvl w:val="0"/>
          <w:numId w:val="1017"/>
        </w:numPr>
      </w:pPr>
      <w:r>
        <w:t xml:space="preserve">Validar permisos.</w:t>
      </w:r>
    </w:p>
    <w:p>
      <w:pPr>
        <w:pStyle w:val="Compact"/>
        <w:numPr>
          <w:ilvl w:val="0"/>
          <w:numId w:val="1017"/>
        </w:numPr>
      </w:pPr>
      <w:r>
        <w:t xml:space="preserve">Comprobar el estado del tratamiento antes de ejecutar acciones.</w:t>
      </w:r>
    </w:p>
    <w:p>
      <w:r>
        <w:pict>
          <v:rect style="width:0;height:1.5pt" o:hralign="center" o:hrstd="t" o:hr="t"/>
        </w:pict>
      </w:r>
    </w:p>
    <w:bookmarkEnd w:id="51"/>
    <w:bookmarkStart w:id="52" w:name="auditoría"/>
    <w:p>
      <w:pPr>
        <w:pStyle w:val="Heading1"/>
      </w:pPr>
      <w:r>
        <w:t xml:space="preserve">Auditoría</w:t>
      </w:r>
    </w:p>
    <w:p>
      <w:pPr>
        <w:pStyle w:val="FirstParagraph"/>
      </w:pPr>
      <w:r>
        <w:t xml:space="preserve">Registrar:</w:t>
      </w:r>
    </w:p>
    <w:p>
      <w:pPr>
        <w:pStyle w:val="Compact"/>
        <w:numPr>
          <w:ilvl w:val="0"/>
          <w:numId w:val="1018"/>
        </w:numPr>
      </w:pPr>
      <w:r>
        <w:t xml:space="preserve">Usuario.</w:t>
      </w:r>
    </w:p>
    <w:p>
      <w:pPr>
        <w:pStyle w:val="Compact"/>
        <w:numPr>
          <w:ilvl w:val="0"/>
          <w:numId w:val="1018"/>
        </w:numPr>
      </w:pPr>
      <w:r>
        <w:t xml:space="preserve">Organización.</w:t>
      </w:r>
    </w:p>
    <w:p>
      <w:pPr>
        <w:pStyle w:val="Compact"/>
        <w:numPr>
          <w:ilvl w:val="0"/>
          <w:numId w:val="1018"/>
        </w:numPr>
      </w:pPr>
      <w:r>
        <w:t xml:space="preserve">Operación.</w:t>
      </w:r>
    </w:p>
    <w:p>
      <w:pPr>
        <w:pStyle w:val="Compact"/>
        <w:numPr>
          <w:ilvl w:val="0"/>
          <w:numId w:val="1018"/>
        </w:numPr>
      </w:pPr>
      <w:r>
        <w:t xml:space="preserve">Estado anterior.</w:t>
      </w:r>
    </w:p>
    <w:p>
      <w:pPr>
        <w:pStyle w:val="Compact"/>
        <w:numPr>
          <w:ilvl w:val="0"/>
          <w:numId w:val="1018"/>
        </w:numPr>
      </w:pPr>
      <w:r>
        <w:t xml:space="preserve">Estado nuevo.</w:t>
      </w:r>
    </w:p>
    <w:p>
      <w:pPr>
        <w:pStyle w:val="Compact"/>
        <w:numPr>
          <w:ilvl w:val="0"/>
          <w:numId w:val="1018"/>
        </w:numPr>
      </w:pPr>
      <w:r>
        <w:t xml:space="preserve">Fecha.</w:t>
      </w:r>
    </w:p>
    <w:p>
      <w:pPr>
        <w:pStyle w:val="Compact"/>
        <w:numPr>
          <w:ilvl w:val="0"/>
          <w:numId w:val="1018"/>
        </w:numPr>
      </w:pPr>
      <w:r>
        <w:t xml:space="preserve">Correlation ID.</w:t>
      </w:r>
    </w:p>
    <w:p>
      <w:r>
        <w:pict>
          <v:rect style="width:0;height:1.5pt" o:hralign="center" o:hrstd="t" o:hr="t"/>
        </w:pict>
      </w:r>
    </w:p>
    <w:bookmarkEnd w:id="52"/>
    <w:bookmarkStart w:id="53" w:name="riesgos"/>
    <w:p>
      <w:pPr>
        <w:pStyle w:val="Heading1"/>
      </w:pPr>
      <w:r>
        <w:t xml:space="preserve">Riesgos</w:t>
      </w:r>
    </w:p>
    <w:p>
      <w:pPr>
        <w:pStyle w:val="Compact"/>
        <w:numPr>
          <w:ilvl w:val="0"/>
          <w:numId w:val="1019"/>
        </w:numPr>
      </w:pPr>
      <w:r>
        <w:t xml:space="preserve">Duplicidad de tratamientos.</w:t>
      </w:r>
    </w:p>
    <w:p>
      <w:pPr>
        <w:pStyle w:val="Compact"/>
        <w:numPr>
          <w:ilvl w:val="0"/>
          <w:numId w:val="1019"/>
        </w:numPr>
      </w:pPr>
      <w:r>
        <w:t xml:space="preserve">Versiones inconsistentes del protocolo.</w:t>
      </w:r>
    </w:p>
    <w:p>
      <w:pPr>
        <w:pStyle w:val="Compact"/>
        <w:numPr>
          <w:ilvl w:val="0"/>
          <w:numId w:val="1019"/>
        </w:numPr>
      </w:pPr>
      <w:r>
        <w:t xml:space="preserve">Variantes sin control.</w:t>
      </w:r>
    </w:p>
    <w:p>
      <w:pPr>
        <w:pStyle w:val="Compact"/>
        <w:numPr>
          <w:ilvl w:val="0"/>
          <w:numId w:val="1019"/>
        </w:numPr>
      </w:pPr>
      <w:r>
        <w:t xml:space="preserve">Asociaciones inválidas con especialistas o productos.</w:t>
      </w:r>
    </w:p>
    <w:p>
      <w:pPr>
        <w:pStyle w:val="FirstParagraph"/>
      </w:pPr>
      <w:r>
        <w:t xml:space="preserve">Toda excepción deberá registrarse y revisarse.</w:t>
      </w:r>
    </w:p>
    <w:p>
      <w:r>
        <w:pict>
          <v:rect style="width:0;height:1.5pt" o:hralign="center" o:hrstd="t" o:hr="t"/>
        </w:pict>
      </w:r>
    </w:p>
    <w:bookmarkEnd w:id="53"/>
    <w:bookmarkStart w:id="54" w:name="checklist"/>
    <w:p>
      <w:pPr>
        <w:pStyle w:val="Heading1"/>
      </w:pPr>
      <w:r>
        <w:t xml:space="preserve">Checklist</w:t>
      </w:r>
    </w:p>
    <w:p>
      <w:pPr>
        <w:pStyle w:val="Compact"/>
        <w:numPr>
          <w:ilvl w:val="0"/>
          <w:numId w:val="1020"/>
        </w:numPr>
      </w:pPr>
      <w:r>
        <w:t xml:space="preserve">Casos de uso definidos.</w:t>
      </w:r>
    </w:p>
    <w:p>
      <w:pPr>
        <w:pStyle w:val="Compact"/>
        <w:numPr>
          <w:ilvl w:val="0"/>
          <w:numId w:val="1020"/>
        </w:numPr>
      </w:pPr>
      <w:r>
        <w:t xml:space="preserve">Eventos documentados.</w:t>
      </w:r>
    </w:p>
    <w:p>
      <w:pPr>
        <w:pStyle w:val="Compact"/>
        <w:numPr>
          <w:ilvl w:val="0"/>
          <w:numId w:val="1020"/>
        </w:numPr>
      </w:pPr>
      <w:r>
        <w:t xml:space="preserve">Integraciones identificadas.</w:t>
      </w:r>
    </w:p>
    <w:p>
      <w:pPr>
        <w:pStyle w:val="Compact"/>
        <w:numPr>
          <w:ilvl w:val="0"/>
          <w:numId w:val="1020"/>
        </w:numPr>
      </w:pPr>
      <w:r>
        <w:t xml:space="preserve">Seguridad contemplada.</w:t>
      </w:r>
    </w:p>
    <w:p>
      <w:pPr>
        <w:pStyle w:val="Compact"/>
        <w:numPr>
          <w:ilvl w:val="0"/>
          <w:numId w:val="1020"/>
        </w:numPr>
      </w:pPr>
      <w:r>
        <w:t xml:space="preserve">Auditoría incluida.</w:t>
      </w:r>
    </w:p>
    <w:p>
      <w:pPr>
        <w:pStyle w:val="Compact"/>
        <w:numPr>
          <w:ilvl w:val="0"/>
          <w:numId w:val="1020"/>
        </w:numPr>
      </w:pPr>
      <w:r>
        <w:t xml:space="preserve">Riesgos analizados.</w:t>
      </w:r>
    </w:p>
    <w:p>
      <w:r>
        <w:pict>
          <v:rect style="width:0;height:1.5pt" o:hralign="center" o:hrstd="t" o:hr="t"/>
        </w:pict>
      </w:r>
    </w:p>
    <w:bookmarkEnd w:id="54"/>
    <w:bookmarkStart w:id="55" w:name="referencias"/>
    <w:p>
      <w:pPr>
        <w:pStyle w:val="Heading1"/>
      </w:pPr>
      <w:r>
        <w:t xml:space="preserve">Referencias</w:t>
      </w:r>
    </w:p>
    <w:p>
      <w:pPr>
        <w:pStyle w:val="Compact"/>
        <w:numPr>
          <w:ilvl w:val="0"/>
          <w:numId w:val="1021"/>
        </w:numPr>
      </w:pPr>
      <w:r>
        <w:t xml:space="preserve">TREATMENT001_TREATMENT_DOMAIN_ARCHITECTURE.md</w:t>
      </w:r>
    </w:p>
    <w:p>
      <w:pPr>
        <w:pStyle w:val="Compact"/>
        <w:numPr>
          <w:ilvl w:val="0"/>
          <w:numId w:val="1021"/>
        </w:numPr>
      </w:pPr>
      <w:r>
        <w:t xml:space="preserve">TREATMENT002_TREATMENT_DATA_MODEL.md</w:t>
      </w:r>
    </w:p>
    <w:p>
      <w:pPr>
        <w:pStyle w:val="Compact"/>
        <w:numPr>
          <w:ilvl w:val="0"/>
          <w:numId w:val="1021"/>
        </w:numPr>
      </w:pPr>
      <w:r>
        <w:t xml:space="preserve">A010_EVENT_DRIVEN_ARCHITECTURE.md</w:t>
      </w:r>
    </w:p>
    <w:p>
      <w:pPr>
        <w:pStyle w:val="Compact"/>
        <w:numPr>
          <w:ilvl w:val="0"/>
          <w:numId w:val="1021"/>
        </w:numPr>
      </w:pPr>
      <w:r>
        <w:t xml:space="preserve">CORE002_ERROR_HANDLING_AND_RESULT_PATTERN.md</w:t>
      </w:r>
    </w:p>
    <w:p>
      <w:pPr>
        <w:pStyle w:val="Compact"/>
        <w:numPr>
          <w:ilvl w:val="0"/>
          <w:numId w:val="1021"/>
        </w:numPr>
      </w:pPr>
      <w:r>
        <w:t xml:space="preserve">SEC002_AUTHORIZATION_MODEL.md</w:t>
      </w:r>
    </w:p>
    <w:p>
      <w:r>
        <w:pict>
          <v:rect style="width:0;height:1.5pt" o:hralign="center" o:hrstd="t" o:hr="t"/>
        </w:pict>
      </w:r>
    </w:p>
    <w:bookmarkEnd w:id="55"/>
    <w:bookmarkStart w:id="56" w:name="estado"/>
    <w:p>
      <w:pPr>
        <w:pStyle w:val="Heading1"/>
      </w:pPr>
      <w:r>
        <w:t xml:space="preserve">Estado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Aprobado como especificación oficial de casos de uso del dominio Treatments.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2026-06-30T17:18:08Z</dcterms:created>
  <dcterms:modified xsi:type="dcterms:W3CDTF">2026-06-30T17:18:08Z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