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treatment002-treatment-data-model"/>
    <w:p>
      <w:pPr>
        <w:pStyle w:val="Heading1"/>
      </w:pPr>
      <w:r>
        <w:t xml:space="preserve">TREATMENT002 — TREATMENT DATA MODEL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modelo de datos oficial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.</w:t>
      </w:r>
    </w:p>
    <w:p>
      <w:pPr>
        <w:pStyle w:val="BodyText"/>
      </w:pPr>
      <w:r>
        <w:t xml:space="preserve">Este modelo almacenará el catálogo de tratamientos clínicos de la plataforma, incluyendo variantes, protocolos, recursos, precios base y metadatos necesarios para su integración con otros dominios.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Colecciones.</w:t>
      </w:r>
    </w:p>
    <w:p>
      <w:pPr>
        <w:pStyle w:val="Compact"/>
        <w:numPr>
          <w:ilvl w:val="0"/>
          <w:numId w:val="1001"/>
        </w:numPr>
      </w:pPr>
      <w:r>
        <w:t xml:space="preserve">Documentos.</w:t>
      </w:r>
    </w:p>
    <w:p>
      <w:pPr>
        <w:pStyle w:val="Compact"/>
        <w:numPr>
          <w:ilvl w:val="0"/>
          <w:numId w:val="1001"/>
        </w:numPr>
      </w:pPr>
      <w:r>
        <w:t xml:space="preserve">Relaciones.</w:t>
      </w:r>
    </w:p>
    <w:p>
      <w:pPr>
        <w:pStyle w:val="Compact"/>
        <w:numPr>
          <w:ilvl w:val="0"/>
          <w:numId w:val="1001"/>
        </w:numPr>
      </w:pPr>
      <w:r>
        <w:t xml:space="preserve">Índices.</w:t>
      </w:r>
    </w:p>
    <w:p>
      <w:pPr>
        <w:pStyle w:val="Compact"/>
        <w:numPr>
          <w:ilvl w:val="0"/>
          <w:numId w:val="1001"/>
        </w:numPr>
      </w:pPr>
      <w:r>
        <w:t xml:space="preserve">Auditoría.</w:t>
      </w:r>
    </w:p>
    <w:p>
      <w:pPr>
        <w:pStyle w:val="Compact"/>
        <w:numPr>
          <w:ilvl w:val="0"/>
          <w:numId w:val="1001"/>
        </w:numPr>
      </w:pPr>
      <w:r>
        <w:t xml:space="preserve">Versionado.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Inventario.</w:t>
      </w:r>
    </w:p>
    <w:p>
      <w:pPr>
        <w:pStyle w:val="Compact"/>
        <w:numPr>
          <w:ilvl w:val="0"/>
          <w:numId w:val="1002"/>
        </w:numPr>
      </w:pPr>
      <w:r>
        <w:t xml:space="preserve">Pagos.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pPr>
        <w:pStyle w:val="Compact"/>
        <w:numPr>
          <w:ilvl w:val="0"/>
          <w:numId w:val="1002"/>
        </w:numPr>
      </w:pPr>
      <w:r>
        <w:t xml:space="preserve">Agenda.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El modelo deberá cumplir:</w:t>
      </w:r>
    </w:p>
    <w:p>
      <w:pPr>
        <w:pStyle w:val="Compact"/>
        <w:numPr>
          <w:ilvl w:val="0"/>
          <w:numId w:val="1003"/>
        </w:numPr>
      </w:pPr>
      <w:r>
        <w:t xml:space="preserve">Multi-Tenant.</w:t>
      </w:r>
    </w:p>
    <w:p>
      <w:pPr>
        <w:pStyle w:val="Compact"/>
        <w:numPr>
          <w:ilvl w:val="0"/>
          <w:numId w:val="1003"/>
        </w:numPr>
      </w:pPr>
      <w:r>
        <w:t xml:space="preserve">Escalabilidad.</w:t>
      </w:r>
    </w:p>
    <w:p>
      <w:pPr>
        <w:pStyle w:val="Compact"/>
        <w:numPr>
          <w:ilvl w:val="0"/>
          <w:numId w:val="1003"/>
        </w:numPr>
      </w:pPr>
      <w:r>
        <w:t xml:space="preserve">Desnormalización controlada.</w:t>
      </w:r>
    </w:p>
    <w:p>
      <w:pPr>
        <w:pStyle w:val="Compact"/>
        <w:numPr>
          <w:ilvl w:val="0"/>
          <w:numId w:val="1003"/>
        </w:numPr>
      </w:pPr>
      <w:r>
        <w:t xml:space="preserve">Consultas eficientes.</w:t>
      </w:r>
    </w:p>
    <w:p>
      <w:pPr>
        <w:pStyle w:val="Compact"/>
        <w:numPr>
          <w:ilvl w:val="0"/>
          <w:numId w:val="1003"/>
        </w:numPr>
      </w:pPr>
      <w:r>
        <w:t xml:space="preserve">Versionado.</w:t>
      </w:r>
    </w:p>
    <w:p>
      <w:pPr>
        <w:pStyle w:val="Compact"/>
        <w:numPr>
          <w:ilvl w:val="0"/>
          <w:numId w:val="1003"/>
        </w:numPr>
      </w:pPr>
      <w:r>
        <w:t xml:space="preserve">Auditoría.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treatments</w:t>
      </w:r>
      <w:r>
        <w:br/>
      </w:r>
      <w:r>
        <w:rPr>
          <w:rStyle w:val="VerbatimChar"/>
        </w:rPr>
        <w:t xml:space="preserve">        └── {treatmentId}</w:t>
      </w:r>
    </w:p>
    <w:p>
      <w:pPr>
        <w:pStyle w:val="FirstParagraph"/>
      </w:pPr>
      <w:r>
        <w:t xml:space="preserve">Cada tratamiento pertenece a una organización.</w:t>
      </w:r>
    </w:p>
    <w:p>
      <w:r>
        <w:pict>
          <v:rect style="width:0;height:1.5pt" o:hralign="center" o:hrstd="t" o:hr="t"/>
        </w:pict>
      </w:r>
    </w:p>
    <w:bookmarkEnd w:id="25"/>
    <w:bookmarkStart w:id="31" w:name="documento-treatment"/>
    <w:p>
      <w:pPr>
        <w:pStyle w:val="Heading1"/>
      </w:pPr>
      <w:r>
        <w:t xml:space="preserve">Documento Treatment</w:t>
      </w:r>
    </w:p>
    <w:bookmarkStart w:id="26" w:name="identificación"/>
    <w:p>
      <w:pPr>
        <w:pStyle w:val="Heading2"/>
      </w:pPr>
      <w:r>
        <w:t xml:space="preserve">Identificación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organizationId</w:t>
      </w:r>
    </w:p>
    <w:p>
      <w:r>
        <w:pict>
          <v:rect style="width:0;height:1.5pt" o:hralign="center" o:hrstd="t" o:hr="t"/>
        </w:pict>
      </w:r>
    </w:p>
    <w:bookmarkEnd w:id="26"/>
    <w:bookmarkStart w:id="27" w:name="información-general"/>
    <w:p>
      <w:pPr>
        <w:pStyle w:val="Heading2"/>
      </w:pPr>
      <w:r>
        <w:t xml:space="preserve">Información General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slug</w:t>
      </w:r>
    </w:p>
    <w:p>
      <w:pPr>
        <w:pStyle w:val="Compact"/>
        <w:numPr>
          <w:ilvl w:val="0"/>
          <w:numId w:val="1005"/>
        </w:numPr>
      </w:pPr>
      <w:r>
        <w:t xml:space="preserve">shortDescription</w:t>
      </w:r>
    </w:p>
    <w:p>
      <w:pPr>
        <w:pStyle w:val="Compact"/>
        <w:numPr>
          <w:ilvl w:val="0"/>
          <w:numId w:val="1005"/>
        </w:numPr>
      </w:pPr>
      <w:r>
        <w:t xml:space="preserve">fullDescription</w:t>
      </w:r>
    </w:p>
    <w:p>
      <w:r>
        <w:pict>
          <v:rect style="width:0;height:1.5pt" o:hralign="center" o:hrstd="t" o:hr="t"/>
        </w:pict>
      </w:r>
    </w:p>
    <w:bookmarkEnd w:id="27"/>
    <w:bookmarkStart w:id="28" w:name="clasificación"/>
    <w:p>
      <w:pPr>
        <w:pStyle w:val="Heading2"/>
      </w:pPr>
      <w:r>
        <w:t xml:space="preserve">Clasificación</w:t>
      </w:r>
    </w:p>
    <w:p>
      <w:pPr>
        <w:pStyle w:val="Compact"/>
        <w:numPr>
          <w:ilvl w:val="0"/>
          <w:numId w:val="1006"/>
        </w:numPr>
      </w:pPr>
      <w:r>
        <w:t xml:space="preserve">categoryId</w:t>
      </w:r>
    </w:p>
    <w:p>
      <w:pPr>
        <w:pStyle w:val="Compact"/>
        <w:numPr>
          <w:ilvl w:val="0"/>
          <w:numId w:val="1006"/>
        </w:numPr>
      </w:pPr>
      <w:r>
        <w:t xml:space="preserve">tags[]</w:t>
      </w:r>
    </w:p>
    <w:p>
      <w:pPr>
        <w:pStyle w:val="Compact"/>
        <w:numPr>
          <w:ilvl w:val="0"/>
          <w:numId w:val="1006"/>
        </w:numPr>
      </w:pPr>
      <w:r>
        <w:t xml:space="preserve">targetSkinTypes[]</w:t>
      </w:r>
    </w:p>
    <w:p>
      <w:pPr>
        <w:pStyle w:val="Compact"/>
        <w:numPr>
          <w:ilvl w:val="0"/>
          <w:numId w:val="1006"/>
        </w:numPr>
      </w:pPr>
      <w:r>
        <w:t xml:space="preserve">targetConcerns[]</w:t>
      </w:r>
    </w:p>
    <w:p>
      <w:r>
        <w:pict>
          <v:rect style="width:0;height:1.5pt" o:hralign="center" o:hrstd="t" o:hr="t"/>
        </w:pict>
      </w:r>
    </w:p>
    <w:bookmarkEnd w:id="28"/>
    <w:bookmarkStart w:id="29" w:name="estado"/>
    <w:p>
      <w:pPr>
        <w:pStyle w:val="Heading2"/>
      </w:pPr>
      <w:r>
        <w:t xml:space="preserve">Estado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FirstParagraph"/>
      </w:pPr>
      <w:r>
        <w:t xml:space="preserve">Valores permitidos:</w:t>
      </w:r>
    </w:p>
    <w:p>
      <w:pPr>
        <w:pStyle w:val="Compact"/>
        <w:numPr>
          <w:ilvl w:val="0"/>
          <w:numId w:val="1008"/>
        </w:numPr>
      </w:pPr>
      <w:r>
        <w:t xml:space="preserve">DRAFT</w:t>
      </w:r>
    </w:p>
    <w:p>
      <w:pPr>
        <w:pStyle w:val="Compact"/>
        <w:numPr>
          <w:ilvl w:val="0"/>
          <w:numId w:val="1008"/>
        </w:numPr>
      </w:pPr>
      <w:r>
        <w:t xml:space="preserve">ACTIVE</w:t>
      </w:r>
    </w:p>
    <w:p>
      <w:pPr>
        <w:pStyle w:val="Compact"/>
        <w:numPr>
          <w:ilvl w:val="0"/>
          <w:numId w:val="1008"/>
        </w:numPr>
      </w:pPr>
      <w:r>
        <w:t xml:space="preserve">INACTIVE</w:t>
      </w:r>
    </w:p>
    <w:p>
      <w:pPr>
        <w:pStyle w:val="Compact"/>
        <w:numPr>
          <w:ilvl w:val="0"/>
          <w:numId w:val="1008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9"/>
    <w:bookmarkStart w:id="30" w:name="variantes"/>
    <w:p>
      <w:pPr>
        <w:pStyle w:val="Heading2"/>
      </w:pPr>
      <w:r>
        <w:t xml:space="preserve">Variantes</w:t>
      </w:r>
    </w:p>
    <w:p>
      <w:pPr>
        <w:pStyle w:val="FirstParagraph"/>
      </w:pPr>
      <w:r>
        <w:t xml:space="preserve">Cada tratamiento podrá contener múltiples variantes.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variants</w:t>
      </w:r>
      <w:r>
        <w:br/>
      </w:r>
      <w:r>
        <w:rPr>
          <w:rStyle w:val="VerbatimChar"/>
        </w:rPr>
        <w:t xml:space="preserve">├── Express</w:t>
      </w:r>
      <w:r>
        <w:br/>
      </w:r>
      <w:r>
        <w:rPr>
          <w:rStyle w:val="VerbatimChar"/>
        </w:rPr>
        <w:t xml:space="preserve">├── Standard</w:t>
      </w:r>
      <w:r>
        <w:br/>
      </w:r>
      <w:r>
        <w:rPr>
          <w:rStyle w:val="VerbatimChar"/>
        </w:rPr>
        <w:t xml:space="preserve">└── Premium</w:t>
      </w:r>
    </w:p>
    <w:p>
      <w:pPr>
        <w:pStyle w:val="FirstParagraph"/>
      </w:pPr>
      <w:r>
        <w:t xml:space="preserve">Cada variante incluirá:</w:t>
      </w:r>
    </w:p>
    <w:p>
      <w:pPr>
        <w:pStyle w:val="Compact"/>
        <w:numPr>
          <w:ilvl w:val="0"/>
          <w:numId w:val="1009"/>
        </w:numPr>
      </w:pPr>
      <w:r>
        <w:t xml:space="preserve">variantId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durationMinutes</w:t>
      </w:r>
    </w:p>
    <w:p>
      <w:pPr>
        <w:pStyle w:val="Compact"/>
        <w:numPr>
          <w:ilvl w:val="0"/>
          <w:numId w:val="1009"/>
        </w:numPr>
      </w:pPr>
      <w:r>
        <w:t xml:space="preserve">basePrice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isDefault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icing"/>
    <w:p>
      <w:pPr>
        <w:pStyle w:val="Heading1"/>
      </w:pPr>
      <w:r>
        <w:t xml:space="preserve">Pricing</w:t>
      </w:r>
    </w:p>
    <w:p>
      <w:pPr>
        <w:pStyle w:val="FirstParagraph"/>
      </w:pPr>
      <w:r>
        <w:t xml:space="preserve">Precio base:</w:t>
      </w:r>
    </w:p>
    <w:p>
      <w:pPr>
        <w:pStyle w:val="Compact"/>
        <w:numPr>
          <w:ilvl w:val="0"/>
          <w:numId w:val="1010"/>
        </w:numPr>
      </w:pPr>
      <w:r>
        <w:t xml:space="preserve">currency</w:t>
      </w:r>
    </w:p>
    <w:p>
      <w:pPr>
        <w:pStyle w:val="Compact"/>
        <w:numPr>
          <w:ilvl w:val="0"/>
          <w:numId w:val="1010"/>
        </w:numPr>
      </w:pPr>
      <w:r>
        <w:t xml:space="preserve">basePrice</w:t>
      </w:r>
    </w:p>
    <w:p>
      <w:pPr>
        <w:pStyle w:val="FirstParagraph"/>
      </w:pPr>
      <w:r>
        <w:t xml:space="preserve">Las promociones pertenecen al dominio Comercial.</w:t>
      </w:r>
    </w:p>
    <w:p>
      <w:r>
        <w:pict>
          <v:rect style="width:0;height:1.5pt" o:hralign="center" o:hrstd="t" o:hr="t"/>
        </w:pict>
      </w:r>
    </w:p>
    <w:bookmarkEnd w:id="32"/>
    <w:bookmarkStart w:id="33" w:name="protocol"/>
    <w:p>
      <w:pPr>
        <w:pStyle w:val="Heading1"/>
      </w:pPr>
      <w:r>
        <w:t xml:space="preserve">Protocol</w:t>
      </w:r>
    </w:p>
    <w:p>
      <w:pPr>
        <w:pStyle w:val="FirstParagraph"/>
      </w:pPr>
      <w:r>
        <w:t xml:space="preserve">Cada protocolo incluirá:</w:t>
      </w:r>
    </w:p>
    <w:p>
      <w:pPr>
        <w:pStyle w:val="Compact"/>
        <w:numPr>
          <w:ilvl w:val="0"/>
          <w:numId w:val="1011"/>
        </w:numPr>
      </w:pPr>
      <w:r>
        <w:t xml:space="preserve">version</w:t>
      </w:r>
    </w:p>
    <w:p>
      <w:pPr>
        <w:pStyle w:val="Compact"/>
        <w:numPr>
          <w:ilvl w:val="0"/>
          <w:numId w:val="1011"/>
        </w:numPr>
      </w:pPr>
      <w:r>
        <w:t xml:space="preserve">estimatedDuration</w:t>
      </w:r>
    </w:p>
    <w:p>
      <w:pPr>
        <w:pStyle w:val="Compact"/>
        <w:numPr>
          <w:ilvl w:val="0"/>
          <w:numId w:val="1011"/>
        </w:numPr>
      </w:pPr>
      <w:r>
        <w:t xml:space="preserve">preparationInstructions</w:t>
      </w:r>
    </w:p>
    <w:p>
      <w:pPr>
        <w:pStyle w:val="Compact"/>
        <w:numPr>
          <w:ilvl w:val="0"/>
          <w:numId w:val="1011"/>
        </w:numPr>
      </w:pPr>
      <w:r>
        <w:t xml:space="preserve">aftercareInstructions</w:t>
      </w:r>
    </w:p>
    <w:p>
      <w:pPr>
        <w:pStyle w:val="Compact"/>
        <w:numPr>
          <w:ilvl w:val="0"/>
          <w:numId w:val="1011"/>
        </w:numPr>
      </w:pPr>
      <w:r>
        <w:t xml:space="preserve">internalNotes</w:t>
      </w:r>
    </w:p>
    <w:p>
      <w:pPr>
        <w:pStyle w:val="FirstParagraph"/>
      </w:pPr>
      <w:r>
        <w:t xml:space="preserve">Las modificaciones del protocolo generarán una nueva versión.</w:t>
      </w:r>
    </w:p>
    <w:p>
      <w:r>
        <w:pict>
          <v:rect style="width:0;height:1.5pt" o:hralign="center" o:hrstd="t" o:hr="t"/>
        </w:pict>
      </w:r>
    </w:p>
    <w:bookmarkEnd w:id="33"/>
    <w:bookmarkStart w:id="34" w:name="recursos"/>
    <w:p>
      <w:pPr>
        <w:pStyle w:val="Heading1"/>
      </w:pPr>
      <w:r>
        <w:t xml:space="preserve">Recursos</w:t>
      </w:r>
    </w:p>
    <w:p>
      <w:pPr>
        <w:pStyle w:val="FirstParagraph"/>
      </w:pPr>
      <w:r>
        <w:t xml:space="preserve">Lista de recursos requeridos.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Cabina.</w:t>
      </w:r>
    </w:p>
    <w:p>
      <w:pPr>
        <w:pStyle w:val="Compact"/>
        <w:numPr>
          <w:ilvl w:val="0"/>
          <w:numId w:val="1012"/>
        </w:numPr>
      </w:pPr>
      <w:r>
        <w:t xml:space="preserve">Equipos.</w:t>
      </w:r>
    </w:p>
    <w:p>
      <w:pPr>
        <w:pStyle w:val="Compact"/>
        <w:numPr>
          <w:ilvl w:val="0"/>
          <w:numId w:val="1012"/>
        </w:numPr>
      </w:pPr>
      <w:r>
        <w:t xml:space="preserve">Consumibles.</w:t>
      </w:r>
    </w:p>
    <w:p>
      <w:pPr>
        <w:pStyle w:val="FirstParagraph"/>
      </w:pPr>
      <w:r>
        <w:t xml:space="preserve">Se almacenarán como referencias mediante identificadores.</w:t>
      </w:r>
    </w:p>
    <w:p>
      <w:r>
        <w:pict>
          <v:rect style="width:0;height:1.5pt" o:hralign="center" o:hrstd="t" o:hr="t"/>
        </w:pict>
      </w:r>
    </w:p>
    <w:bookmarkEnd w:id="34"/>
    <w:bookmarkStart w:id="35" w:name="productos-relacionados"/>
    <w:p>
      <w:pPr>
        <w:pStyle w:val="Heading1"/>
      </w:pPr>
      <w:r>
        <w:t xml:space="preserve">Productos Relacionados</w:t>
      </w:r>
    </w:p>
    <w:p>
      <w:pPr>
        <w:pStyle w:val="FirstParagraph"/>
      </w:pPr>
      <w:r>
        <w:t xml:space="preserve">Lista de referencias:</w:t>
      </w:r>
    </w:p>
    <w:p>
      <w:pPr>
        <w:pStyle w:val="Compact"/>
        <w:numPr>
          <w:ilvl w:val="0"/>
          <w:numId w:val="1013"/>
        </w:numPr>
      </w:pPr>
      <w:r>
        <w:t xml:space="preserve">productIds[]</w:t>
      </w:r>
    </w:p>
    <w:p>
      <w:pPr>
        <w:pStyle w:val="FirstParagraph"/>
      </w:pPr>
      <w:r>
        <w:t xml:space="preserve">No se almacenará información duplicada de productos.</w:t>
      </w:r>
    </w:p>
    <w:p>
      <w:r>
        <w:pict>
          <v:rect style="width:0;height:1.5pt" o:hralign="center" o:hrstd="t" o:hr="t"/>
        </w:pict>
      </w:r>
    </w:p>
    <w:bookmarkEnd w:id="35"/>
    <w:bookmarkStart w:id="36" w:name="especialistas-habilitados"/>
    <w:p>
      <w:pPr>
        <w:pStyle w:val="Heading1"/>
      </w:pPr>
      <w:r>
        <w:t xml:space="preserve">Especialistas Habilitados</w:t>
      </w:r>
    </w:p>
    <w:p>
      <w:pPr>
        <w:pStyle w:val="FirstParagraph"/>
      </w:pPr>
      <w:r>
        <w:t xml:space="preserve">Lista de referencias:</w:t>
      </w:r>
    </w:p>
    <w:p>
      <w:pPr>
        <w:pStyle w:val="Compact"/>
        <w:numPr>
          <w:ilvl w:val="0"/>
          <w:numId w:val="1014"/>
        </w:numPr>
      </w:pPr>
      <w:r>
        <w:t xml:space="preserve">specialistIds[]</w:t>
      </w:r>
    </w:p>
    <w:p>
      <w:pPr>
        <w:pStyle w:val="FirstParagraph"/>
      </w:pPr>
      <w:r>
        <w:t xml:space="preserve">Permitirá filtrar tratamientos según certificaciones o capacidades.</w:t>
      </w:r>
    </w:p>
    <w:p>
      <w:r>
        <w:pict>
          <v:rect style="width:0;height:1.5pt" o:hralign="center" o:hrstd="t" o:hr="t"/>
        </w:pict>
      </w:r>
    </w:p>
    <w:bookmarkEnd w:id="36"/>
    <w:bookmarkStart w:id="37" w:name="recomendaciones"/>
    <w:p>
      <w:pPr>
        <w:pStyle w:val="Heading1"/>
      </w:pPr>
      <w:r>
        <w:t xml:space="preserve">Recomendaciones</w:t>
      </w:r>
    </w:p>
    <w:p>
      <w:pPr>
        <w:pStyle w:val="FirstParagraph"/>
      </w:pPr>
      <w:r>
        <w:t xml:space="preserve">Referencias a:</w:t>
      </w:r>
    </w:p>
    <w:p>
      <w:pPr>
        <w:pStyle w:val="Compact"/>
        <w:numPr>
          <w:ilvl w:val="0"/>
          <w:numId w:val="1015"/>
        </w:numPr>
      </w:pPr>
      <w:r>
        <w:t xml:space="preserve">tratamientosComplementarios[]</w:t>
      </w:r>
    </w:p>
    <w:p>
      <w:pPr>
        <w:pStyle w:val="Compact"/>
        <w:numPr>
          <w:ilvl w:val="0"/>
          <w:numId w:val="1015"/>
        </w:numPr>
      </w:pPr>
      <w:r>
        <w:t xml:space="preserve">productosRecomendados[]</w:t>
      </w:r>
    </w:p>
    <w:p>
      <w:pPr>
        <w:pStyle w:val="FirstParagraph"/>
      </w:pPr>
      <w:r>
        <w:t xml:space="preserve">Estas relaciones serán utilizadas por CRM e IA.</w:t>
      </w:r>
    </w:p>
    <w:p>
      <w:r>
        <w:pict>
          <v:rect style="width:0;height:1.5pt" o:hralign="center" o:hrstd="t" o:hr="t"/>
        </w:pict>
      </w:r>
    </w:p>
    <w:bookmarkEnd w:id="37"/>
    <w:bookmarkStart w:id="38" w:name="contraindicaciones"/>
    <w:p>
      <w:pPr>
        <w:pStyle w:val="Heading1"/>
      </w:pPr>
      <w:r>
        <w:t xml:space="preserve">Contraindicaciones</w:t>
      </w:r>
    </w:p>
    <w:p>
      <w:pPr>
        <w:pStyle w:val="FirstParagraph"/>
      </w:pPr>
      <w:r>
        <w:t xml:space="preserve">Lista estructurada de restricciones.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6"/>
        </w:numPr>
      </w:pPr>
      <w:r>
        <w:t xml:space="preserve">Embarazo.</w:t>
      </w:r>
    </w:p>
    <w:p>
      <w:pPr>
        <w:pStyle w:val="Compact"/>
        <w:numPr>
          <w:ilvl w:val="0"/>
          <w:numId w:val="1016"/>
        </w:numPr>
      </w:pPr>
      <w:r>
        <w:t xml:space="preserve">Rosácea activa.</w:t>
      </w:r>
    </w:p>
    <w:p>
      <w:pPr>
        <w:pStyle w:val="Compact"/>
        <w:numPr>
          <w:ilvl w:val="0"/>
          <w:numId w:val="1016"/>
        </w:numPr>
      </w:pPr>
      <w:r>
        <w:t xml:space="preserve">Alergias específicas.</w:t>
      </w:r>
    </w:p>
    <w:p>
      <w:pPr>
        <w:pStyle w:val="FirstParagraph"/>
      </w:pPr>
      <w:r>
        <w:t xml:space="preserve">El dominio clínico podrá ampliar esta información en el futuro.</w:t>
      </w:r>
    </w:p>
    <w:p>
      <w:r>
        <w:pict>
          <v:rect style="width:0;height:1.5pt" o:hralign="center" o:hrstd="t" o:hr="t"/>
        </w:pict>
      </w:r>
    </w:p>
    <w:bookmarkEnd w:id="38"/>
    <w:bookmarkStart w:id="39" w:name="seo"/>
    <w:p>
      <w:pPr>
        <w:pStyle w:val="Heading1"/>
      </w:pPr>
      <w:r>
        <w:t xml:space="preserve">SEO</w:t>
      </w:r>
    </w:p>
    <w:p>
      <w:pPr>
        <w:pStyle w:val="FirstParagraph"/>
      </w:pPr>
      <w:r>
        <w:t xml:space="preserve">Campos previstos:</w:t>
      </w:r>
    </w:p>
    <w:p>
      <w:pPr>
        <w:pStyle w:val="Compact"/>
        <w:numPr>
          <w:ilvl w:val="0"/>
          <w:numId w:val="1017"/>
        </w:numPr>
      </w:pPr>
      <w:r>
        <w:t xml:space="preserve">seoTitle</w:t>
      </w:r>
    </w:p>
    <w:p>
      <w:pPr>
        <w:pStyle w:val="Compact"/>
        <w:numPr>
          <w:ilvl w:val="0"/>
          <w:numId w:val="1017"/>
        </w:numPr>
      </w:pPr>
      <w:r>
        <w:t xml:space="preserve">seoDescription</w:t>
      </w:r>
    </w:p>
    <w:p>
      <w:pPr>
        <w:pStyle w:val="Compact"/>
        <w:numPr>
          <w:ilvl w:val="0"/>
          <w:numId w:val="1017"/>
        </w:numPr>
      </w:pPr>
      <w:r>
        <w:t xml:space="preserve">seoKeywords</w:t>
      </w:r>
    </w:p>
    <w:p>
      <w:pPr>
        <w:pStyle w:val="Compact"/>
        <w:numPr>
          <w:ilvl w:val="0"/>
          <w:numId w:val="1017"/>
        </w:numPr>
      </w:pPr>
      <w:r>
        <w:t xml:space="preserve">featuredImage</w:t>
      </w:r>
    </w:p>
    <w:p>
      <w:pPr>
        <w:pStyle w:val="FirstParagraph"/>
      </w:pPr>
      <w:r>
        <w:t xml:space="preserve">Estos datos serán utilizados por el Portal Público.</w:t>
      </w:r>
    </w:p>
    <w:p>
      <w:r>
        <w:pict>
          <v:rect style="width:0;height:1.5pt" o:hralign="center" o:hrstd="t" o:hr="t"/>
        </w:pict>
      </w:r>
    </w:p>
    <w:bookmarkEnd w:id="39"/>
    <w:bookmarkStart w:id="40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8"/>
        </w:numPr>
      </w:pPr>
      <w:r>
        <w:t xml:space="preserve">createdAt</w:t>
      </w:r>
    </w:p>
    <w:p>
      <w:pPr>
        <w:pStyle w:val="Compact"/>
        <w:numPr>
          <w:ilvl w:val="0"/>
          <w:numId w:val="1018"/>
        </w:numPr>
      </w:pPr>
      <w:r>
        <w:t xml:space="preserve">createdBy</w:t>
      </w:r>
    </w:p>
    <w:p>
      <w:pPr>
        <w:pStyle w:val="Compact"/>
        <w:numPr>
          <w:ilvl w:val="0"/>
          <w:numId w:val="1018"/>
        </w:numPr>
      </w:pPr>
      <w:r>
        <w:t xml:space="preserve">updatedAt</w:t>
      </w:r>
    </w:p>
    <w:p>
      <w:pPr>
        <w:pStyle w:val="Compact"/>
        <w:numPr>
          <w:ilvl w:val="0"/>
          <w:numId w:val="1018"/>
        </w:numPr>
      </w:pPr>
      <w:r>
        <w:t xml:space="preserve">updatedBy</w:t>
      </w:r>
    </w:p>
    <w:p>
      <w:r>
        <w:pict>
          <v:rect style="width:0;height:1.5pt" o:hralign="center" o:hrstd="t" o:hr="t"/>
        </w:pict>
      </w:r>
    </w:p>
    <w:bookmarkEnd w:id="40"/>
    <w:bookmarkStart w:id="41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Cada modificación relevante del protocolo incrementará:</w:t>
      </w:r>
    </w:p>
    <w:p>
      <w:pPr>
        <w:pStyle w:val="Compact"/>
        <w:numPr>
          <w:ilvl w:val="0"/>
          <w:numId w:val="1019"/>
        </w:numPr>
      </w:pPr>
      <w:r>
        <w:t xml:space="preserve">protocolVersion</w:t>
      </w:r>
    </w:p>
    <w:p>
      <w:pPr>
        <w:pStyle w:val="FirstParagraph"/>
      </w:pPr>
      <w:r>
        <w:t xml:space="preserve">El resto del tratamiento mantendrá su historial mediante auditoría.</w:t>
      </w:r>
    </w:p>
    <w:p>
      <w:r>
        <w:pict>
          <v:rect style="width:0;height:1.5pt" o:hralign="center" o:hrstd="t" o:hr="t"/>
        </w:pict>
      </w:r>
    </w:p>
    <w:bookmarkEnd w:id="41"/>
    <w:bookmarkStart w:id="42" w:name="subcolecciones"/>
    <w:p>
      <w:pPr>
        <w:pStyle w:val="Heading1"/>
      </w:pPr>
      <w:r>
        <w:t xml:space="preserve">Subcolecciones</w:t>
      </w:r>
    </w:p>
    <w:p>
      <w:pPr>
        <w:pStyle w:val="SourceCode"/>
      </w:pPr>
      <w:r>
        <w:rPr>
          <w:rStyle w:val="VerbatimChar"/>
        </w:rPr>
        <w:t xml:space="preserve">treatments</w:t>
      </w:r>
      <w:r>
        <w:br/>
      </w:r>
      <w:r>
        <w:rPr>
          <w:rStyle w:val="VerbatimChar"/>
        </w:rPr>
        <w:t xml:space="preserve">└── treatmentId</w:t>
      </w:r>
      <w:r>
        <w:br/>
      </w:r>
      <w:r>
        <w:rPr>
          <w:rStyle w:val="VerbatimChar"/>
        </w:rPr>
        <w:t xml:space="preserve">    ├── media</w:t>
      </w:r>
      <w:r>
        <w:br/>
      </w:r>
      <w:r>
        <w:rPr>
          <w:rStyle w:val="VerbatimChar"/>
        </w:rPr>
        <w:t xml:space="preserve">    ├── documents</w:t>
      </w:r>
      <w:r>
        <w:br/>
      </w:r>
      <w:r>
        <w:rPr>
          <w:rStyle w:val="VerbatimChar"/>
        </w:rPr>
        <w:t xml:space="preserve">    ├── audit</w:t>
      </w:r>
      <w:r>
        <w:br/>
      </w:r>
      <w:r>
        <w:rPr>
          <w:rStyle w:val="VerbatimChar"/>
        </w:rPr>
        <w:t xml:space="preserve">    └── timeline</w:t>
      </w:r>
    </w:p>
    <w:p>
      <w:r>
        <w:pict>
          <v:rect style="width:0;height:1.5pt" o:hralign="center" o:hrstd="t" o:hr="t"/>
        </w:pict>
      </w:r>
    </w:p>
    <w:bookmarkEnd w:id="42"/>
    <w:bookmarkStart w:id="43" w:name="índices-recomendados"/>
    <w:p>
      <w:pPr>
        <w:pStyle w:val="Heading1"/>
      </w:pPr>
      <w:r>
        <w:t xml:space="preserve">Índices Recomendados</w:t>
      </w:r>
    </w:p>
    <w:p>
      <w:pPr>
        <w:pStyle w:val="FirstParagraph"/>
      </w:pPr>
      <w:r>
        <w:t xml:space="preserve">Consultas frecuentes:</w:t>
      </w:r>
    </w:p>
    <w:p>
      <w:pPr>
        <w:pStyle w:val="Compact"/>
        <w:numPr>
          <w:ilvl w:val="0"/>
          <w:numId w:val="1020"/>
        </w:numPr>
      </w:pPr>
      <w:r>
        <w:t xml:space="preserve">status + categoryId</w:t>
      </w:r>
    </w:p>
    <w:p>
      <w:pPr>
        <w:pStyle w:val="Compact"/>
        <w:numPr>
          <w:ilvl w:val="0"/>
          <w:numId w:val="1020"/>
        </w:numPr>
      </w:pPr>
      <w:r>
        <w:t xml:space="preserve">status + name</w:t>
      </w:r>
    </w:p>
    <w:p>
      <w:pPr>
        <w:pStyle w:val="Compact"/>
        <w:numPr>
          <w:ilvl w:val="0"/>
          <w:numId w:val="1020"/>
        </w:numPr>
      </w:pPr>
      <w:r>
        <w:t xml:space="preserve">tags + status</w:t>
      </w:r>
    </w:p>
    <w:p>
      <w:pPr>
        <w:pStyle w:val="Compact"/>
        <w:numPr>
          <w:ilvl w:val="0"/>
          <w:numId w:val="1020"/>
        </w:numPr>
      </w:pPr>
      <w:r>
        <w:t xml:space="preserve">targetSkinTypes + status</w:t>
      </w:r>
    </w:p>
    <w:p>
      <w:pPr>
        <w:pStyle w:val="FirstParagraph"/>
      </w:pPr>
      <w:r>
        <w:t xml:space="preserve">Los índices definitivos se validarán durante las pruebas de rendimiento.</w:t>
      </w:r>
    </w:p>
    <w:p>
      <w:r>
        <w:pict>
          <v:rect style="width:0;height:1.5pt" o:hralign="center" o:hrstd="t" o:hr="t"/>
        </w:pict>
      </w:r>
    </w:p>
    <w:bookmarkEnd w:id="43"/>
    <w:bookmarkStart w:id="44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Este modelo será utilizado por:</w:t>
      </w:r>
    </w:p>
    <w:p>
      <w:pPr>
        <w:pStyle w:val="Compact"/>
        <w:numPr>
          <w:ilvl w:val="0"/>
          <w:numId w:val="1021"/>
        </w:numPr>
      </w:pPr>
      <w:r>
        <w:t xml:space="preserve">Appointments.</w:t>
      </w:r>
    </w:p>
    <w:p>
      <w:pPr>
        <w:pStyle w:val="Compact"/>
        <w:numPr>
          <w:ilvl w:val="0"/>
          <w:numId w:val="1021"/>
        </w:numPr>
      </w:pPr>
      <w:r>
        <w:t xml:space="preserve">CRM.</w:t>
      </w:r>
    </w:p>
    <w:p>
      <w:pPr>
        <w:pStyle w:val="Compact"/>
        <w:numPr>
          <w:ilvl w:val="0"/>
          <w:numId w:val="1021"/>
        </w:numPr>
      </w:pPr>
      <w:r>
        <w:t xml:space="preserve">Portal Público.</w:t>
      </w:r>
    </w:p>
    <w:p>
      <w:pPr>
        <w:pStyle w:val="Compact"/>
        <w:numPr>
          <w:ilvl w:val="0"/>
          <w:numId w:val="1021"/>
        </w:numPr>
      </w:pPr>
      <w:r>
        <w:t xml:space="preserve">E-commerce.</w:t>
      </w:r>
    </w:p>
    <w:p>
      <w:pPr>
        <w:pStyle w:val="Compact"/>
        <w:numPr>
          <w:ilvl w:val="0"/>
          <w:numId w:val="1021"/>
        </w:numPr>
      </w:pPr>
      <w:r>
        <w:t xml:space="preserve">Analytics.</w:t>
      </w:r>
    </w:p>
    <w:p>
      <w:pPr>
        <w:pStyle w:val="Compact"/>
        <w:numPr>
          <w:ilvl w:val="0"/>
          <w:numId w:val="1021"/>
        </w:numPr>
      </w:pPr>
      <w:r>
        <w:t xml:space="preserve">AI.</w:t>
      </w:r>
    </w:p>
    <w:p>
      <w:r>
        <w:pict>
          <v:rect style="width:0;height:1.5pt" o:hralign="center" o:hrstd="t" o:hr="t"/>
        </w:pict>
      </w:r>
    </w:p>
    <w:bookmarkEnd w:id="44"/>
    <w:bookmarkStart w:id="45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2"/>
        </w:numPr>
      </w:pPr>
      <w:r>
        <w:t xml:space="preserve">Variantes excesivamente complejas.</w:t>
      </w:r>
    </w:p>
    <w:p>
      <w:pPr>
        <w:pStyle w:val="Compact"/>
        <w:numPr>
          <w:ilvl w:val="0"/>
          <w:numId w:val="1022"/>
        </w:numPr>
      </w:pPr>
      <w:r>
        <w:t xml:space="preserve">Duplicación de información.</w:t>
      </w:r>
    </w:p>
    <w:p>
      <w:pPr>
        <w:pStyle w:val="Compact"/>
        <w:numPr>
          <w:ilvl w:val="0"/>
          <w:numId w:val="1022"/>
        </w:numPr>
      </w:pPr>
      <w:r>
        <w:t xml:space="preserve">Protocolos sin versionado.</w:t>
      </w:r>
    </w:p>
    <w:p>
      <w:pPr>
        <w:pStyle w:val="Compact"/>
        <w:numPr>
          <w:ilvl w:val="0"/>
          <w:numId w:val="1022"/>
        </w:numPr>
      </w:pPr>
      <w:r>
        <w:t xml:space="preserve">Relaciones inconsistentes.</w:t>
      </w:r>
    </w:p>
    <w:p>
      <w:pPr>
        <w:pStyle w:val="FirstParagraph"/>
      </w:pPr>
      <w:r>
        <w:t xml:space="preserve">Toda modificación estructural requerirá revisión arquitectónica.</w:t>
      </w:r>
    </w:p>
    <w:p>
      <w:r>
        <w:pict>
          <v:rect style="width:0;height:1.5pt" o:hralign="center" o:hrstd="t" o:hr="t"/>
        </w:pict>
      </w:r>
    </w:p>
    <w:bookmarkEnd w:id="45"/>
    <w:bookmarkStart w:id="46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3"/>
        </w:numPr>
      </w:pPr>
      <w:r>
        <w:t xml:space="preserve">Modelo definido.</w:t>
      </w:r>
    </w:p>
    <w:p>
      <w:pPr>
        <w:pStyle w:val="Compact"/>
        <w:numPr>
          <w:ilvl w:val="0"/>
          <w:numId w:val="1023"/>
        </w:numPr>
      </w:pPr>
      <w:r>
        <w:t xml:space="preserve">Relaciones documentadas.</w:t>
      </w:r>
    </w:p>
    <w:p>
      <w:pPr>
        <w:pStyle w:val="Compact"/>
        <w:numPr>
          <w:ilvl w:val="0"/>
          <w:numId w:val="1023"/>
        </w:numPr>
      </w:pPr>
      <w:r>
        <w:t xml:space="preserve">Variantes estructuradas.</w:t>
      </w:r>
    </w:p>
    <w:p>
      <w:pPr>
        <w:pStyle w:val="Compact"/>
        <w:numPr>
          <w:ilvl w:val="0"/>
          <w:numId w:val="1023"/>
        </w:numPr>
      </w:pPr>
      <w:r>
        <w:t xml:space="preserve">Protocolos versionados.</w:t>
      </w:r>
    </w:p>
    <w:p>
      <w:pPr>
        <w:pStyle w:val="Compact"/>
        <w:numPr>
          <w:ilvl w:val="0"/>
          <w:numId w:val="1023"/>
        </w:numPr>
      </w:pPr>
      <w:r>
        <w:t xml:space="preserve">Índices preliminares definidos.</w:t>
      </w:r>
    </w:p>
    <w:p>
      <w:pPr>
        <w:pStyle w:val="Compact"/>
        <w:numPr>
          <w:ilvl w:val="0"/>
          <w:numId w:val="1023"/>
        </w:numPr>
      </w:pPr>
      <w:r>
        <w:t xml:space="preserve">Integraciones identificadas.</w:t>
      </w:r>
    </w:p>
    <w:p>
      <w:pPr>
        <w:pStyle w:val="Compact"/>
        <w:numPr>
          <w:ilvl w:val="0"/>
          <w:numId w:val="1023"/>
        </w:numPr>
      </w:pPr>
      <w:r>
        <w:t xml:space="preserve">Auditoría incluida.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4"/>
        </w:numPr>
      </w:pPr>
      <w:r>
        <w:t xml:space="preserve">TREATMENT001_TREATMENT_DOMAIN_ARCHITECTURE.md</w:t>
      </w:r>
    </w:p>
    <w:p>
      <w:pPr>
        <w:pStyle w:val="Compact"/>
        <w:numPr>
          <w:ilvl w:val="0"/>
          <w:numId w:val="1024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4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24"/>
        </w:numPr>
      </w:pPr>
      <w:r>
        <w:t xml:space="preserve">DB001_FIRESTORE_DATABASE_ARCHITECTURE.md</w:t>
      </w:r>
    </w:p>
    <w:p>
      <w:r>
        <w:pict>
          <v:rect style="width:0;height:1.5pt" o:hralign="center" o:hrstd="t" o:hr="t"/>
        </w:pict>
      </w:r>
    </w:p>
    <w:bookmarkEnd w:id="47"/>
    <w:bookmarkStart w:id="48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modelo oficial de datos del dominio Treatments.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2026-06-30T17:17:25Z</dcterms:created>
  <dcterms:modified xsi:type="dcterms:W3CDTF">2026-06-30T17:17:25Z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