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ed3fd63cebecef40dce21a2ba2b91dbea2de197"/>
    <w:p>
      <w:pPr>
        <w:pStyle w:val="Heading1"/>
      </w:pPr>
      <w:r>
        <w:t xml:space="preserve">TREATMENT001 — TREATMENT DOMAIN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del dominio</w:t>
      </w:r>
      <w:r>
        <w:t xml:space="preserve"> </w:t>
      </w:r>
      <w:r>
        <w:rPr>
          <w:b/>
          <w:bCs/>
        </w:rPr>
        <w:t xml:space="preserve">Treatments</w:t>
      </w:r>
      <w:r>
        <w:t xml:space="preserve">.</w:t>
      </w:r>
    </w:p>
    <w:p>
      <w:pPr>
        <w:pStyle w:val="BodyText"/>
      </w:pPr>
      <w:r>
        <w:t xml:space="preserve">Este dominio será el catálogo central de servicios clínicos ofrecidos por la plataforma y actuará como referencia para Agenda, CRM, Inteligencia Artificial y E-commerce.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Catálogo de tratamientos.</w:t>
      </w:r>
    </w:p>
    <w:p>
      <w:pPr>
        <w:pStyle w:val="Compact"/>
        <w:numPr>
          <w:ilvl w:val="0"/>
          <w:numId w:val="1001"/>
        </w:numPr>
      </w:pPr>
      <w:r>
        <w:t xml:space="preserve">Variantes.</w:t>
      </w:r>
    </w:p>
    <w:p>
      <w:pPr>
        <w:pStyle w:val="Compact"/>
        <w:numPr>
          <w:ilvl w:val="0"/>
          <w:numId w:val="1001"/>
        </w:numPr>
      </w:pPr>
      <w:r>
        <w:t xml:space="preserve">Protocolos.</w:t>
      </w:r>
    </w:p>
    <w:p>
      <w:pPr>
        <w:pStyle w:val="Compact"/>
        <w:numPr>
          <w:ilvl w:val="0"/>
          <w:numId w:val="1001"/>
        </w:numPr>
      </w:pPr>
      <w:r>
        <w:t xml:space="preserve">Duración.</w:t>
      </w:r>
    </w:p>
    <w:p>
      <w:pPr>
        <w:pStyle w:val="Compact"/>
        <w:numPr>
          <w:ilvl w:val="0"/>
          <w:numId w:val="1001"/>
        </w:numPr>
      </w:pPr>
      <w:r>
        <w:t xml:space="preserve">Precio base.</w:t>
      </w:r>
    </w:p>
    <w:p>
      <w:pPr>
        <w:pStyle w:val="Compact"/>
        <w:numPr>
          <w:ilvl w:val="0"/>
          <w:numId w:val="1001"/>
        </w:numPr>
      </w:pPr>
      <w:r>
        <w:t xml:space="preserve">Recursos necesarios.</w:t>
      </w:r>
    </w:p>
    <w:p>
      <w:pPr>
        <w:pStyle w:val="Compact"/>
        <w:numPr>
          <w:ilvl w:val="0"/>
          <w:numId w:val="1001"/>
        </w:numPr>
      </w:pPr>
      <w:r>
        <w:t xml:space="preserve">Especialistas habilitados.</w:t>
      </w:r>
    </w:p>
    <w:p>
      <w:pPr>
        <w:pStyle w:val="Compact"/>
        <w:numPr>
          <w:ilvl w:val="0"/>
          <w:numId w:val="1001"/>
        </w:numPr>
      </w:pPr>
      <w:r>
        <w:t xml:space="preserve">Estado.</w:t>
      </w:r>
    </w:p>
    <w:p>
      <w:pPr>
        <w:pStyle w:val="Compact"/>
        <w:numPr>
          <w:ilvl w:val="0"/>
          <w:numId w:val="1001"/>
        </w:numPr>
      </w:pPr>
      <w:r>
        <w:t xml:space="preserve">Versionado.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Reservas.</w:t>
      </w:r>
    </w:p>
    <w:p>
      <w:pPr>
        <w:pStyle w:val="Compact"/>
        <w:numPr>
          <w:ilvl w:val="0"/>
          <w:numId w:val="1002"/>
        </w:numPr>
      </w:pPr>
      <w:r>
        <w:t xml:space="preserve">Pagos.</w:t>
      </w:r>
    </w:p>
    <w:p>
      <w:pPr>
        <w:pStyle w:val="Compact"/>
        <w:numPr>
          <w:ilvl w:val="0"/>
          <w:numId w:val="1002"/>
        </w:numPr>
      </w:pPr>
      <w:r>
        <w:t xml:space="preserve">Inventario.</w:t>
      </w:r>
    </w:p>
    <w:p>
      <w:pPr>
        <w:pStyle w:val="Compact"/>
        <w:numPr>
          <w:ilvl w:val="0"/>
          <w:numId w:val="1002"/>
        </w:numPr>
      </w:pPr>
      <w:r>
        <w:t xml:space="preserve">Historial clínico.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El dominio deberá:</w:t>
      </w:r>
    </w:p>
    <w:p>
      <w:pPr>
        <w:pStyle w:val="Compact"/>
        <w:numPr>
          <w:ilvl w:val="0"/>
          <w:numId w:val="1003"/>
        </w:numPr>
      </w:pPr>
      <w:r>
        <w:t xml:space="preserve">Centralizar la definición de tratamientos.</w:t>
      </w:r>
    </w:p>
    <w:p>
      <w:pPr>
        <w:pStyle w:val="Compact"/>
        <w:numPr>
          <w:ilvl w:val="0"/>
          <w:numId w:val="1003"/>
        </w:numPr>
      </w:pPr>
      <w:r>
        <w:t xml:space="preserve">Mantener consistencia entre módulos.</w:t>
      </w:r>
    </w:p>
    <w:p>
      <w:pPr>
        <w:pStyle w:val="Compact"/>
        <w:numPr>
          <w:ilvl w:val="0"/>
          <w:numId w:val="1003"/>
        </w:numPr>
      </w:pPr>
      <w:r>
        <w:t xml:space="preserve">Permitir futuras ampliaciones sin rediseño.</w:t>
      </w:r>
    </w:p>
    <w:p>
      <w:pPr>
        <w:pStyle w:val="Compact"/>
        <w:numPr>
          <w:ilvl w:val="0"/>
          <w:numId w:val="1003"/>
        </w:numPr>
      </w:pPr>
      <w:r>
        <w:t xml:space="preserve">Servir como fuente de verdad para los servicios ofrecidos.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 tratamiento deberá ser:</w:t>
      </w:r>
    </w:p>
    <w:p>
      <w:pPr>
        <w:pStyle w:val="Compact"/>
        <w:numPr>
          <w:ilvl w:val="0"/>
          <w:numId w:val="1004"/>
        </w:numPr>
      </w:pPr>
      <w:r>
        <w:t xml:space="preserve">Reutilizable.</w:t>
      </w:r>
    </w:p>
    <w:p>
      <w:pPr>
        <w:pStyle w:val="Compact"/>
        <w:numPr>
          <w:ilvl w:val="0"/>
          <w:numId w:val="1004"/>
        </w:numPr>
      </w:pPr>
      <w:r>
        <w:t xml:space="preserve">Versionable.</w:t>
      </w:r>
    </w:p>
    <w:p>
      <w:pPr>
        <w:pStyle w:val="Compact"/>
        <w:numPr>
          <w:ilvl w:val="0"/>
          <w:numId w:val="1004"/>
        </w:numPr>
      </w:pPr>
      <w:r>
        <w:t xml:space="preserve">Auditado.</w:t>
      </w:r>
    </w:p>
    <w:p>
      <w:pPr>
        <w:pStyle w:val="Compact"/>
        <w:numPr>
          <w:ilvl w:val="0"/>
          <w:numId w:val="1004"/>
        </w:numPr>
      </w:pPr>
      <w:r>
        <w:t xml:space="preserve">Multi-Tenant.</w:t>
      </w:r>
    </w:p>
    <w:p>
      <w:pPr>
        <w:pStyle w:val="Compact"/>
        <w:numPr>
          <w:ilvl w:val="0"/>
          <w:numId w:val="1004"/>
        </w:numPr>
      </w:pPr>
      <w:r>
        <w:t xml:space="preserve">Independiente de la interfaz.</w:t>
      </w:r>
    </w:p>
    <w:p>
      <w:r>
        <w:pict>
          <v:rect style="width:0;height:1.5pt" o:hralign="center" o:hrstd="t" o:hr="t"/>
        </w:pict>
      </w:r>
    </w:p>
    <w:bookmarkEnd w:id="25"/>
    <w:bookmarkStart w:id="26" w:name="aggregate-root"/>
    <w:p>
      <w:pPr>
        <w:pStyle w:val="Heading1"/>
      </w:pPr>
      <w:r>
        <w:t xml:space="preserve">Aggregate Root</w:t>
      </w:r>
    </w:p>
    <w:p>
      <w:pPr>
        <w:pStyle w:val="SourceCode"/>
      </w:pPr>
      <w:r>
        <w:rPr>
          <w:rStyle w:val="VerbatimChar"/>
        </w:rPr>
        <w:t xml:space="preserve">Treatment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General Information</w:t>
      </w:r>
      <w:r>
        <w:br/>
      </w:r>
      <w:r>
        <w:rPr>
          <w:rStyle w:val="VerbatimChar"/>
        </w:rPr>
        <w:t xml:space="preserve">├── Variants</w:t>
      </w:r>
      <w:r>
        <w:br/>
      </w:r>
      <w:r>
        <w:rPr>
          <w:rStyle w:val="VerbatimChar"/>
        </w:rPr>
        <w:t xml:space="preserve">├── Pricing</w:t>
      </w:r>
      <w:r>
        <w:br/>
      </w:r>
      <w:r>
        <w:rPr>
          <w:rStyle w:val="VerbatimChar"/>
        </w:rPr>
        <w:t xml:space="preserve">├── Protocol</w:t>
      </w:r>
      <w:r>
        <w:br/>
      </w:r>
      <w:r>
        <w:rPr>
          <w:rStyle w:val="VerbatimChar"/>
        </w:rPr>
        <w:t xml:space="preserve">├── Resources</w:t>
      </w:r>
      <w:r>
        <w:br/>
      </w:r>
      <w:r>
        <w:rPr>
          <w:rStyle w:val="VerbatimChar"/>
        </w:rPr>
        <w:t xml:space="preserve">├── Contraindications</w:t>
      </w:r>
      <w:r>
        <w:br/>
      </w:r>
      <w:r>
        <w:rPr>
          <w:rStyle w:val="VerbatimChar"/>
        </w:rPr>
        <w:t xml:space="preserve">├── Recommendations</w:t>
      </w:r>
      <w:r>
        <w:br/>
      </w:r>
      <w:r>
        <w:rPr>
          <w:rStyle w:val="VerbatimChar"/>
        </w:rPr>
        <w:t xml:space="preserve">└── Metadata</w:t>
      </w:r>
    </w:p>
    <w:p>
      <w:pPr>
        <w:pStyle w:val="FirstParagraph"/>
      </w:pPr>
      <w:r>
        <w:t xml:space="preserve">Treatment será el único Aggregate Root del dominio.</w:t>
      </w:r>
    </w:p>
    <w:p>
      <w:r>
        <w:pict>
          <v:rect style="width:0;height:1.5pt" o:hralign="center" o:hrstd="t" o:hr="t"/>
        </w:pict>
      </w:r>
    </w:p>
    <w:bookmarkEnd w:id="26"/>
    <w:bookmarkStart w:id="27" w:name="información-general"/>
    <w:p>
      <w:pPr>
        <w:pStyle w:val="Heading1"/>
      </w:pPr>
      <w:r>
        <w:t xml:space="preserve">Información General</w:t>
      </w:r>
    </w:p>
    <w:p>
      <w:pPr>
        <w:pStyle w:val="FirstParagraph"/>
      </w:pPr>
      <w:r>
        <w:t xml:space="preserve">Cada tratamiento incluirá:</w:t>
      </w:r>
    </w:p>
    <w:p>
      <w:pPr>
        <w:pStyle w:val="Compact"/>
        <w:numPr>
          <w:ilvl w:val="0"/>
          <w:numId w:val="1005"/>
        </w:numPr>
      </w:pPr>
      <w:r>
        <w:t xml:space="preserve">Identificador.</w:t>
      </w:r>
    </w:p>
    <w:p>
      <w:pPr>
        <w:pStyle w:val="Compact"/>
        <w:numPr>
          <w:ilvl w:val="0"/>
          <w:numId w:val="1005"/>
        </w:numPr>
      </w:pPr>
      <w:r>
        <w:t xml:space="preserve">Nombre.</w:t>
      </w:r>
    </w:p>
    <w:p>
      <w:pPr>
        <w:pStyle w:val="Compact"/>
        <w:numPr>
          <w:ilvl w:val="0"/>
          <w:numId w:val="1005"/>
        </w:numPr>
      </w:pPr>
      <w:r>
        <w:t xml:space="preserve">Descripción corta.</w:t>
      </w:r>
    </w:p>
    <w:p>
      <w:pPr>
        <w:pStyle w:val="Compact"/>
        <w:numPr>
          <w:ilvl w:val="0"/>
          <w:numId w:val="1005"/>
        </w:numPr>
      </w:pPr>
      <w:r>
        <w:t xml:space="preserve">Descripción completa.</w:t>
      </w:r>
    </w:p>
    <w:p>
      <w:pPr>
        <w:pStyle w:val="Compact"/>
        <w:numPr>
          <w:ilvl w:val="0"/>
          <w:numId w:val="1005"/>
        </w:numPr>
      </w:pPr>
      <w:r>
        <w:t xml:space="preserve">Categoría.</w:t>
      </w:r>
    </w:p>
    <w:p>
      <w:pPr>
        <w:pStyle w:val="Compact"/>
        <w:numPr>
          <w:ilvl w:val="0"/>
          <w:numId w:val="1005"/>
        </w:numPr>
      </w:pPr>
      <w:r>
        <w:t xml:space="preserve">Estado.</w:t>
      </w:r>
    </w:p>
    <w:p>
      <w:r>
        <w:pict>
          <v:rect style="width:0;height:1.5pt" o:hralign="center" o:hrstd="t" o:hr="t"/>
        </w:pict>
      </w:r>
    </w:p>
    <w:bookmarkEnd w:id="27"/>
    <w:bookmarkStart w:id="28" w:name="variantes"/>
    <w:p>
      <w:pPr>
        <w:pStyle w:val="Heading1"/>
      </w:pPr>
      <w:r>
        <w:t xml:space="preserve">Variantes</w:t>
      </w:r>
    </w:p>
    <w:p>
      <w:pPr>
        <w:pStyle w:val="FirstParagraph"/>
      </w:pPr>
      <w:r>
        <w:t xml:space="preserve">Las variantes permitirán ofrecer diferentes modalidades del mismo tratamiento.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Facial Básico.</w:t>
      </w:r>
    </w:p>
    <w:p>
      <w:pPr>
        <w:pStyle w:val="Compact"/>
        <w:numPr>
          <w:ilvl w:val="0"/>
          <w:numId w:val="1006"/>
        </w:numPr>
      </w:pPr>
      <w:r>
        <w:t xml:space="preserve">Facial Premium.</w:t>
      </w:r>
    </w:p>
    <w:p>
      <w:pPr>
        <w:pStyle w:val="Compact"/>
        <w:numPr>
          <w:ilvl w:val="0"/>
          <w:numId w:val="1006"/>
        </w:numPr>
      </w:pPr>
      <w:r>
        <w:t xml:space="preserve">Facial Express.</w:t>
      </w:r>
    </w:p>
    <w:p>
      <w:pPr>
        <w:pStyle w:val="FirstParagraph"/>
      </w:pPr>
      <w:r>
        <w:t xml:space="preserve">Cada variante podrá definir:</w:t>
      </w:r>
    </w:p>
    <w:p>
      <w:pPr>
        <w:pStyle w:val="Compact"/>
        <w:numPr>
          <w:ilvl w:val="0"/>
          <w:numId w:val="1007"/>
        </w:numPr>
      </w:pPr>
      <w:r>
        <w:t xml:space="preserve">Duración.</w:t>
      </w:r>
    </w:p>
    <w:p>
      <w:pPr>
        <w:pStyle w:val="Compact"/>
        <w:numPr>
          <w:ilvl w:val="0"/>
          <w:numId w:val="1007"/>
        </w:numPr>
      </w:pPr>
      <w:r>
        <w:t xml:space="preserve">Precio base.</w:t>
      </w:r>
    </w:p>
    <w:p>
      <w:pPr>
        <w:pStyle w:val="Compact"/>
        <w:numPr>
          <w:ilvl w:val="0"/>
          <w:numId w:val="1007"/>
        </w:numPr>
      </w:pPr>
      <w:r>
        <w:t xml:space="preserve">Recursos adicionales.</w:t>
      </w:r>
    </w:p>
    <w:p>
      <w:r>
        <w:pict>
          <v:rect style="width:0;height:1.5pt" o:hralign="center" o:hrstd="t" o:hr="t"/>
        </w:pict>
      </w:r>
    </w:p>
    <w:bookmarkEnd w:id="28"/>
    <w:bookmarkStart w:id="29" w:name="pricing"/>
    <w:p>
      <w:pPr>
        <w:pStyle w:val="Heading1"/>
      </w:pPr>
      <w:r>
        <w:t xml:space="preserve">Pricing</w:t>
      </w:r>
    </w:p>
    <w:p>
      <w:pPr>
        <w:pStyle w:val="FirstParagraph"/>
      </w:pPr>
      <w:r>
        <w:t xml:space="preserve">El tratamiento mantendrá un precio base.</w:t>
      </w:r>
    </w:p>
    <w:p>
      <w:pPr>
        <w:pStyle w:val="BodyText"/>
      </w:pPr>
      <w:r>
        <w:t xml:space="preserve">Las promociones, descuentos y campañas pertenecerán a otros dominios para evitar acoplamiento.</w:t>
      </w:r>
    </w:p>
    <w:p>
      <w:r>
        <w:pict>
          <v:rect style="width:0;height:1.5pt" o:hralign="center" o:hrstd="t" o:hr="t"/>
        </w:pict>
      </w:r>
    </w:p>
    <w:bookmarkEnd w:id="29"/>
    <w:bookmarkStart w:id="30" w:name="protocol"/>
    <w:p>
      <w:pPr>
        <w:pStyle w:val="Heading1"/>
      </w:pPr>
      <w:r>
        <w:t xml:space="preserve">Protocol</w:t>
      </w:r>
    </w:p>
    <w:p>
      <w:pPr>
        <w:pStyle w:val="FirstParagraph"/>
      </w:pPr>
      <w:r>
        <w:t xml:space="preserve">Define la ejecución estándar del tratamiento.</w:t>
      </w:r>
    </w:p>
    <w:p>
      <w:pPr>
        <w:pStyle w:val="BodyText"/>
      </w:pPr>
      <w:r>
        <w:t xml:space="preserve">Podrá incluir:</w:t>
      </w:r>
    </w:p>
    <w:p>
      <w:pPr>
        <w:pStyle w:val="Compact"/>
        <w:numPr>
          <w:ilvl w:val="0"/>
          <w:numId w:val="1008"/>
        </w:numPr>
      </w:pPr>
      <w:r>
        <w:t xml:space="preserve">Pasos.</w:t>
      </w:r>
    </w:p>
    <w:p>
      <w:pPr>
        <w:pStyle w:val="Compact"/>
        <w:numPr>
          <w:ilvl w:val="0"/>
          <w:numId w:val="1008"/>
        </w:numPr>
      </w:pPr>
      <w:r>
        <w:t xml:space="preserve">Tiempo estimado.</w:t>
      </w:r>
    </w:p>
    <w:p>
      <w:pPr>
        <w:pStyle w:val="Compact"/>
        <w:numPr>
          <w:ilvl w:val="0"/>
          <w:numId w:val="1008"/>
        </w:numPr>
      </w:pPr>
      <w:r>
        <w:t xml:space="preserve">Observaciones.</w:t>
      </w:r>
    </w:p>
    <w:p>
      <w:pPr>
        <w:pStyle w:val="Compact"/>
        <w:numPr>
          <w:ilvl w:val="0"/>
          <w:numId w:val="1008"/>
        </w:numPr>
      </w:pPr>
      <w:r>
        <w:t xml:space="preserve">Preparación previa.</w:t>
      </w:r>
    </w:p>
    <w:p>
      <w:pPr>
        <w:pStyle w:val="Compact"/>
        <w:numPr>
          <w:ilvl w:val="0"/>
          <w:numId w:val="1008"/>
        </w:numPr>
      </w:pPr>
      <w:r>
        <w:t xml:space="preserve">Cuidados posteriores.</w:t>
      </w:r>
    </w:p>
    <w:p>
      <w:pPr>
        <w:pStyle w:val="FirstParagraph"/>
      </w:pPr>
      <w:r>
        <w:t xml:space="preserve">Este protocolo será utilizado por el personal y podrá evolucionar con nuevas versiones.</w:t>
      </w:r>
    </w:p>
    <w:p>
      <w:r>
        <w:pict>
          <v:rect style="width:0;height:1.5pt" o:hralign="center" o:hrstd="t" o:hr="t"/>
        </w:pict>
      </w:r>
    </w:p>
    <w:bookmarkEnd w:id="30"/>
    <w:bookmarkStart w:id="31" w:name="resources"/>
    <w:p>
      <w:pPr>
        <w:pStyle w:val="Heading1"/>
      </w:pPr>
      <w:r>
        <w:t xml:space="preserve">Resources</w:t>
      </w:r>
    </w:p>
    <w:p>
      <w:pPr>
        <w:pStyle w:val="FirstParagraph"/>
      </w:pPr>
      <w:r>
        <w:t xml:space="preserve">Define los recursos necesarios para prestar el servicio.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Cabina.</w:t>
      </w:r>
    </w:p>
    <w:p>
      <w:pPr>
        <w:pStyle w:val="Compact"/>
        <w:numPr>
          <w:ilvl w:val="0"/>
          <w:numId w:val="1009"/>
        </w:numPr>
      </w:pPr>
      <w:r>
        <w:t xml:space="preserve">Equipos.</w:t>
      </w:r>
    </w:p>
    <w:p>
      <w:pPr>
        <w:pStyle w:val="Compact"/>
        <w:numPr>
          <w:ilvl w:val="0"/>
          <w:numId w:val="1009"/>
        </w:numPr>
      </w:pPr>
      <w:r>
        <w:t xml:space="preserve">Consumibles.</w:t>
      </w:r>
    </w:p>
    <w:p>
      <w:pPr>
        <w:pStyle w:val="Compact"/>
        <w:numPr>
          <w:ilvl w:val="0"/>
          <w:numId w:val="1009"/>
        </w:numPr>
      </w:pPr>
      <w:r>
        <w:t xml:space="preserve">Productos asociados.</w:t>
      </w:r>
    </w:p>
    <w:p>
      <w:pPr>
        <w:pStyle w:val="FirstParagraph"/>
      </w:pPr>
      <w:r>
        <w:t xml:space="preserve">La reserva de recursos será responsabilidad de otros dominios.</w:t>
      </w:r>
    </w:p>
    <w:p>
      <w:r>
        <w:pict>
          <v:rect style="width:0;height:1.5pt" o:hralign="center" o:hrstd="t" o:hr="t"/>
        </w:pict>
      </w:r>
    </w:p>
    <w:bookmarkEnd w:id="31"/>
    <w:bookmarkStart w:id="32" w:name="contraindications"/>
    <w:p>
      <w:pPr>
        <w:pStyle w:val="Heading1"/>
      </w:pPr>
      <w:r>
        <w:t xml:space="preserve">Contraindications</w:t>
      </w:r>
    </w:p>
    <w:p>
      <w:pPr>
        <w:pStyle w:val="FirstParagraph"/>
      </w:pPr>
      <w:r>
        <w:t xml:space="preserve">Permite registrar situaciones en las que el tratamiento no es recomendable.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Embarazo.</w:t>
      </w:r>
    </w:p>
    <w:p>
      <w:pPr>
        <w:pStyle w:val="Compact"/>
        <w:numPr>
          <w:ilvl w:val="0"/>
          <w:numId w:val="1010"/>
        </w:numPr>
      </w:pPr>
      <w:r>
        <w:t xml:space="preserve">Lesiones cutáneas activas.</w:t>
      </w:r>
    </w:p>
    <w:p>
      <w:pPr>
        <w:pStyle w:val="Compact"/>
        <w:numPr>
          <w:ilvl w:val="0"/>
          <w:numId w:val="1010"/>
        </w:numPr>
      </w:pPr>
      <w:r>
        <w:t xml:space="preserve">Alergias específicas.</w:t>
      </w:r>
    </w:p>
    <w:p>
      <w:pPr>
        <w:pStyle w:val="FirstParagraph"/>
      </w:pPr>
      <w:r>
        <w:t xml:space="preserve">Estas reglas servirán de apoyo a futuros módulos clínicos y de IA.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s"/>
    <w:p>
      <w:pPr>
        <w:pStyle w:val="Heading1"/>
      </w:pPr>
      <w:r>
        <w:t xml:space="preserve">Recommendations</w:t>
      </w:r>
    </w:p>
    <w:p>
      <w:pPr>
        <w:pStyle w:val="FirstParagraph"/>
      </w:pPr>
      <w:r>
        <w:t xml:space="preserve">Incluye recomendaciones relacionadas con:</w:t>
      </w:r>
    </w:p>
    <w:p>
      <w:pPr>
        <w:pStyle w:val="Compact"/>
        <w:numPr>
          <w:ilvl w:val="0"/>
          <w:numId w:val="1011"/>
        </w:numPr>
      </w:pPr>
      <w:r>
        <w:t xml:space="preserve">Frecuencia sugerida.</w:t>
      </w:r>
    </w:p>
    <w:p>
      <w:pPr>
        <w:pStyle w:val="Compact"/>
        <w:numPr>
          <w:ilvl w:val="0"/>
          <w:numId w:val="1011"/>
        </w:numPr>
      </w:pPr>
      <w:r>
        <w:t xml:space="preserve">Tratamientos complementarios.</w:t>
      </w:r>
    </w:p>
    <w:p>
      <w:pPr>
        <w:pStyle w:val="Compact"/>
        <w:numPr>
          <w:ilvl w:val="0"/>
          <w:numId w:val="1011"/>
        </w:numPr>
      </w:pPr>
      <w:r>
        <w:t xml:space="preserve">Productos recomendados.</w:t>
      </w:r>
    </w:p>
    <w:p>
      <w:pPr>
        <w:pStyle w:val="FirstParagraph"/>
      </w:pPr>
      <w:r>
        <w:t xml:space="preserve">Estas recomendaciones podrán ser utilizadas por CRM, IA y Marketing.</w:t>
      </w:r>
    </w:p>
    <w:p>
      <w:r>
        <w:pict>
          <v:rect style="width:0;height:1.5pt" o:hralign="center" o:hrstd="t" o:hr="t"/>
        </w:pict>
      </w:r>
    </w:p>
    <w:bookmarkEnd w:id="33"/>
    <w:bookmarkStart w:id="3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t xml:space="preserve">Estados iniciales:</w:t>
      </w:r>
    </w:p>
    <w:p>
      <w:pPr>
        <w:pStyle w:val="Compact"/>
        <w:numPr>
          <w:ilvl w:val="0"/>
          <w:numId w:val="1012"/>
        </w:numPr>
      </w:pPr>
      <w:r>
        <w:t xml:space="preserve">DRAFT</w:t>
      </w:r>
    </w:p>
    <w:p>
      <w:pPr>
        <w:pStyle w:val="Compact"/>
        <w:numPr>
          <w:ilvl w:val="0"/>
          <w:numId w:val="1012"/>
        </w:numPr>
      </w:pPr>
      <w:r>
        <w:t xml:space="preserve">ACTIVE</w:t>
      </w:r>
    </w:p>
    <w:p>
      <w:pPr>
        <w:pStyle w:val="Compact"/>
        <w:numPr>
          <w:ilvl w:val="0"/>
          <w:numId w:val="1012"/>
        </w:numPr>
      </w:pPr>
      <w:r>
        <w:t xml:space="preserve">INACTIVE</w:t>
      </w:r>
    </w:p>
    <w:p>
      <w:pPr>
        <w:pStyle w:val="Compact"/>
        <w:numPr>
          <w:ilvl w:val="0"/>
          <w:numId w:val="1012"/>
        </w:numPr>
      </w:pPr>
      <w:r>
        <w:t xml:space="preserve">ARCHIVED</w:t>
      </w:r>
    </w:p>
    <w:p>
      <w:pPr>
        <w:pStyle w:val="FirstParagraph"/>
      </w:pPr>
      <w:r>
        <w:t xml:space="preserve">Las transiciones estarán controladas por el dominio.</w:t>
      </w:r>
    </w:p>
    <w:p>
      <w:r>
        <w:pict>
          <v:rect style="width:0;height:1.5pt" o:hralign="center" o:hrstd="t" o:hr="t"/>
        </w:pict>
      </w:r>
    </w:p>
    <w:bookmarkEnd w:id="34"/>
    <w:bookmarkStart w:id="35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El dominio será consumido por:</w:t>
      </w:r>
    </w:p>
    <w:p>
      <w:pPr>
        <w:pStyle w:val="Compact"/>
        <w:numPr>
          <w:ilvl w:val="0"/>
          <w:numId w:val="1013"/>
        </w:numPr>
      </w:pPr>
      <w:r>
        <w:t xml:space="preserve">Appointments.</w:t>
      </w:r>
    </w:p>
    <w:p>
      <w:pPr>
        <w:pStyle w:val="Compact"/>
        <w:numPr>
          <w:ilvl w:val="0"/>
          <w:numId w:val="1013"/>
        </w:numPr>
      </w:pPr>
      <w:r>
        <w:t xml:space="preserve">Customers.</w:t>
      </w:r>
    </w:p>
    <w:p>
      <w:pPr>
        <w:pStyle w:val="Compact"/>
        <w:numPr>
          <w:ilvl w:val="0"/>
          <w:numId w:val="1013"/>
        </w:numPr>
      </w:pPr>
      <w:r>
        <w:t xml:space="preserve">Specialists.</w:t>
      </w:r>
    </w:p>
    <w:p>
      <w:pPr>
        <w:pStyle w:val="Compact"/>
        <w:numPr>
          <w:ilvl w:val="0"/>
          <w:numId w:val="1013"/>
        </w:numPr>
      </w:pPr>
      <w:r>
        <w:t xml:space="preserve">CRM.</w:t>
      </w:r>
    </w:p>
    <w:p>
      <w:pPr>
        <w:pStyle w:val="Compact"/>
        <w:numPr>
          <w:ilvl w:val="0"/>
          <w:numId w:val="1013"/>
        </w:numPr>
      </w:pPr>
      <w:r>
        <w:t xml:space="preserve">Analytics.</w:t>
      </w:r>
    </w:p>
    <w:p>
      <w:pPr>
        <w:pStyle w:val="Compact"/>
        <w:numPr>
          <w:ilvl w:val="0"/>
          <w:numId w:val="1013"/>
        </w:numPr>
      </w:pPr>
      <w:r>
        <w:t xml:space="preserve">AI.</w:t>
      </w:r>
    </w:p>
    <w:p>
      <w:pPr>
        <w:pStyle w:val="Compact"/>
        <w:numPr>
          <w:ilvl w:val="0"/>
          <w:numId w:val="1013"/>
        </w:numPr>
      </w:pPr>
      <w:r>
        <w:t xml:space="preserve">E-commerce.</w:t>
      </w:r>
    </w:p>
    <w:p>
      <w:pPr>
        <w:pStyle w:val="FirstParagraph"/>
      </w:pPr>
      <w:r>
        <w:t xml:space="preserve">No dependerá de ninguno de ellos.</w:t>
      </w:r>
    </w:p>
    <w:p>
      <w:r>
        <w:pict>
          <v:rect style="width:0;height:1.5pt" o:hralign="center" o:hrstd="t" o:hr="t"/>
        </w:pict>
      </w:r>
    </w:p>
    <w:bookmarkEnd w:id="35"/>
    <w:bookmarkStart w:id="36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Eventos mínimos:</w:t>
      </w:r>
    </w:p>
    <w:p>
      <w:pPr>
        <w:pStyle w:val="Compact"/>
        <w:numPr>
          <w:ilvl w:val="0"/>
          <w:numId w:val="1014"/>
        </w:numPr>
      </w:pPr>
      <w:r>
        <w:t xml:space="preserve">TreatmentCreated</w:t>
      </w:r>
    </w:p>
    <w:p>
      <w:pPr>
        <w:pStyle w:val="Compact"/>
        <w:numPr>
          <w:ilvl w:val="0"/>
          <w:numId w:val="1014"/>
        </w:numPr>
      </w:pPr>
      <w:r>
        <w:t xml:space="preserve">TreatmentUpdated</w:t>
      </w:r>
    </w:p>
    <w:p>
      <w:pPr>
        <w:pStyle w:val="Compact"/>
        <w:numPr>
          <w:ilvl w:val="0"/>
          <w:numId w:val="1014"/>
        </w:numPr>
      </w:pPr>
      <w:r>
        <w:t xml:space="preserve">TreatmentActivated</w:t>
      </w:r>
    </w:p>
    <w:p>
      <w:pPr>
        <w:pStyle w:val="Compact"/>
        <w:numPr>
          <w:ilvl w:val="0"/>
          <w:numId w:val="1014"/>
        </w:numPr>
      </w:pPr>
      <w:r>
        <w:t xml:space="preserve">TreatmentArchived</w:t>
      </w:r>
    </w:p>
    <w:p>
      <w:r>
        <w:pict>
          <v:rect style="width:0;height:1.5pt" o:hralign="center" o:hrstd="t" o:hr="t"/>
        </w:pict>
      </w:r>
    </w:p>
    <w:bookmarkEnd w:id="36"/>
    <w:bookmarkStart w:id="37" w:name="escalabilidad"/>
    <w:p>
      <w:pPr>
        <w:pStyle w:val="Heading1"/>
      </w:pPr>
      <w:r>
        <w:t xml:space="preserve">Escalabilidad</w:t>
      </w:r>
    </w:p>
    <w:p>
      <w:pPr>
        <w:pStyle w:val="FirstParagraph"/>
      </w:pPr>
      <w:r>
        <w:t xml:space="preserve">El modelo permitirá incorporar:</w:t>
      </w:r>
    </w:p>
    <w:p>
      <w:pPr>
        <w:pStyle w:val="Compact"/>
        <w:numPr>
          <w:ilvl w:val="0"/>
          <w:numId w:val="1015"/>
        </w:numPr>
      </w:pPr>
      <w:r>
        <w:t xml:space="preserve">Múltiples sedes.</w:t>
      </w:r>
    </w:p>
    <w:p>
      <w:pPr>
        <w:pStyle w:val="Compact"/>
        <w:numPr>
          <w:ilvl w:val="0"/>
          <w:numId w:val="1015"/>
        </w:numPr>
      </w:pPr>
      <w:r>
        <w:t xml:space="preserve">Protocolos específicos por organización.</w:t>
      </w:r>
    </w:p>
    <w:p>
      <w:pPr>
        <w:pStyle w:val="Compact"/>
        <w:numPr>
          <w:ilvl w:val="0"/>
          <w:numId w:val="1015"/>
        </w:numPr>
      </w:pPr>
      <w:r>
        <w:t xml:space="preserve">Recursos avanzados.</w:t>
      </w:r>
    </w:p>
    <w:p>
      <w:pPr>
        <w:pStyle w:val="Compact"/>
        <w:numPr>
          <w:ilvl w:val="0"/>
          <w:numId w:val="1015"/>
        </w:numPr>
      </w:pPr>
      <w:r>
        <w:t xml:space="preserve">Certificaciones requeridas.</w:t>
      </w:r>
    </w:p>
    <w:p>
      <w:pPr>
        <w:pStyle w:val="Compact"/>
        <w:numPr>
          <w:ilvl w:val="0"/>
          <w:numId w:val="1015"/>
        </w:numPr>
      </w:pPr>
      <w:r>
        <w:t xml:space="preserve">Versiones clínicas.</w:t>
      </w:r>
    </w:p>
    <w:p>
      <w:pPr>
        <w:pStyle w:val="FirstParagraph"/>
      </w:pPr>
      <w:r>
        <w:t xml:space="preserve">Sin modificar la arquitectura principal.</w:t>
      </w:r>
    </w:p>
    <w:p>
      <w:r>
        <w:pict>
          <v:rect style="width:0;height:1.5pt" o:hralign="center" o:hrstd="t" o:hr="t"/>
        </w:pict>
      </w:r>
    </w:p>
    <w:bookmarkEnd w:id="37"/>
    <w:bookmarkStart w:id="38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6"/>
        </w:numPr>
      </w:pPr>
      <w:r>
        <w:t xml:space="preserve">Duplicidad de tratamientos.</w:t>
      </w:r>
    </w:p>
    <w:p>
      <w:pPr>
        <w:pStyle w:val="Compact"/>
        <w:numPr>
          <w:ilvl w:val="0"/>
          <w:numId w:val="1016"/>
        </w:numPr>
      </w:pPr>
      <w:r>
        <w:t xml:space="preserve">Protocolos inconsistentes.</w:t>
      </w:r>
    </w:p>
    <w:p>
      <w:pPr>
        <w:pStyle w:val="Compact"/>
        <w:numPr>
          <w:ilvl w:val="0"/>
          <w:numId w:val="1016"/>
        </w:numPr>
      </w:pPr>
      <w:r>
        <w:t xml:space="preserve">Variantes excesivamente complejas.</w:t>
      </w:r>
    </w:p>
    <w:p>
      <w:pPr>
        <w:pStyle w:val="Compact"/>
        <w:numPr>
          <w:ilvl w:val="0"/>
          <w:numId w:val="1016"/>
        </w:numPr>
      </w:pPr>
      <w:r>
        <w:t xml:space="preserve">Dependencias con otros dominios.</w:t>
      </w:r>
    </w:p>
    <w:p>
      <w:pPr>
        <w:pStyle w:val="FirstParagraph"/>
      </w:pPr>
      <w:r>
        <w:t xml:space="preserve">Todo cambio estructural requerirá revisión arquitectónica.</w:t>
      </w:r>
    </w:p>
    <w:p>
      <w:r>
        <w:pict>
          <v:rect style="width:0;height:1.5pt" o:hralign="center" o:hrstd="t" o:hr="t"/>
        </w:pict>
      </w:r>
    </w:p>
    <w:bookmarkEnd w:id="38"/>
    <w:bookmarkStart w:id="39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Aggregate Root definido.</w:t>
      </w:r>
    </w:p>
    <w:p>
      <w:pPr>
        <w:pStyle w:val="Compact"/>
        <w:numPr>
          <w:ilvl w:val="0"/>
          <w:numId w:val="1017"/>
        </w:numPr>
      </w:pPr>
      <w:r>
        <w:t xml:space="preserve">Responsabilidades delimitadas.</w:t>
      </w:r>
    </w:p>
    <w:p>
      <w:pPr>
        <w:pStyle w:val="Compact"/>
        <w:numPr>
          <w:ilvl w:val="0"/>
          <w:numId w:val="1017"/>
        </w:numPr>
      </w:pPr>
      <w:r>
        <w:t xml:space="preserve">Integraciones identificadas.</w:t>
      </w:r>
    </w:p>
    <w:p>
      <w:pPr>
        <w:pStyle w:val="Compact"/>
        <w:numPr>
          <w:ilvl w:val="0"/>
          <w:numId w:val="1017"/>
        </w:numPr>
      </w:pPr>
      <w:r>
        <w:t xml:space="preserve">Escalabilidad considerada.</w:t>
      </w:r>
    </w:p>
    <w:p>
      <w:pPr>
        <w:pStyle w:val="Compact"/>
        <w:numPr>
          <w:ilvl w:val="0"/>
          <w:numId w:val="1017"/>
        </w:numPr>
      </w:pPr>
      <w:r>
        <w:t xml:space="preserve">Auditoría incluida.</w:t>
      </w:r>
    </w:p>
    <w:p>
      <w:pPr>
        <w:pStyle w:val="Compact"/>
        <w:numPr>
          <w:ilvl w:val="0"/>
          <w:numId w:val="1017"/>
        </w:numPr>
      </w:pPr>
      <w:r>
        <w:t xml:space="preserve">Riesgos documentados.</w:t>
      </w:r>
    </w:p>
    <w:p>
      <w:r>
        <w:pict>
          <v:rect style="width:0;height:1.5pt" o:hralign="center" o:hrstd="t" o:hr="t"/>
        </w:pict>
      </w:r>
    </w:p>
    <w:bookmarkEnd w:id="39"/>
    <w:bookmarkStart w:id="40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APP001_APPOINTMENT_DOMAIN_ARCHITECTURE.md</w:t>
      </w:r>
    </w:p>
    <w:p>
      <w:pPr>
        <w:pStyle w:val="Compact"/>
        <w:numPr>
          <w:ilvl w:val="0"/>
          <w:numId w:val="1018"/>
        </w:numPr>
      </w:pPr>
      <w:r>
        <w:t xml:space="preserve">CUSTOMER001_DOMAIN_ARCHITECTURE.md</w:t>
      </w:r>
    </w:p>
    <w:p>
      <w:pPr>
        <w:pStyle w:val="Compact"/>
        <w:numPr>
          <w:ilvl w:val="0"/>
          <w:numId w:val="1018"/>
        </w:numPr>
      </w:pPr>
      <w:r>
        <w:t xml:space="preserve">A010_EVENT_DRIVEN_ARCHITECTURE.md</w:t>
      </w:r>
    </w:p>
    <w:p>
      <w:pPr>
        <w:pStyle w:val="Compact"/>
        <w:numPr>
          <w:ilvl w:val="0"/>
          <w:numId w:val="1018"/>
        </w:numPr>
      </w:pPr>
      <w:r>
        <w:t xml:space="preserve">SEC001_SECURITY_ARCHITECTURE.md</w:t>
      </w:r>
    </w:p>
    <w:p>
      <w:r>
        <w:pict>
          <v:rect style="width:0;height:1.5pt" o:hralign="center" o:hrstd="t" o:hr="t"/>
        </w:pict>
      </w:r>
    </w:p>
    <w:bookmarkEnd w:id="40"/>
    <w:bookmarkStart w:id="41" w:name="estado-1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dominio Treatments.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2026-06-30T17:15:06Z</dcterms:created>
  <dcterms:modified xsi:type="dcterms:W3CDTF">2026-06-30T17:15:06Z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