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e328add3f10432ad5ea96e0fc86036e37fe4ee9"/>
    <w:p>
      <w:pPr>
        <w:pStyle w:val="Heading1"/>
      </w:pPr>
      <w:r>
        <w:t xml:space="preserve">UI002 — COMPONENT CLASSIFICATION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para la clasificación de los componentes reutilizables de la plataforma.</w:t>
      </w:r>
    </w:p>
    <w:p>
      <w:pPr>
        <w:pStyle w:val="BodyText"/>
      </w:pPr>
      <w:r>
        <w:t xml:space="preserve">El objetivo es mantener una biblioteca coherente, escalable y fácil de mantener, evitando la duplicación y la mezcla de responsabilidades.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biblioteca UI deberá cumplir:</w:t>
      </w:r>
    </w:p>
    <w:p>
      <w:pPr>
        <w:pStyle w:val="Compact"/>
        <w:numPr>
          <w:ilvl w:val="0"/>
          <w:numId w:val="1001"/>
        </w:numPr>
      </w:pPr>
      <w:r>
        <w:t xml:space="preserve">Responsabilidad única.</w:t>
      </w:r>
    </w:p>
    <w:p>
      <w:pPr>
        <w:pStyle w:val="Compact"/>
        <w:numPr>
          <w:ilvl w:val="0"/>
          <w:numId w:val="1001"/>
        </w:numPr>
      </w:pPr>
      <w:r>
        <w:t xml:space="preserve">Alta reutilización.</w:t>
      </w:r>
    </w:p>
    <w:p>
      <w:pPr>
        <w:pStyle w:val="Compact"/>
        <w:numPr>
          <w:ilvl w:val="0"/>
          <w:numId w:val="1001"/>
        </w:numPr>
      </w:pPr>
      <w:r>
        <w:t xml:space="preserve">Bajo acoplamiento.</w:t>
      </w:r>
    </w:p>
    <w:p>
      <w:pPr>
        <w:pStyle w:val="Compact"/>
        <w:numPr>
          <w:ilvl w:val="0"/>
          <w:numId w:val="1001"/>
        </w:numPr>
      </w:pPr>
      <w:r>
        <w:t xml:space="preserve">Composición antes que herencia.</w:t>
      </w:r>
    </w:p>
    <w:p>
      <w:pPr>
        <w:pStyle w:val="Compact"/>
        <w:numPr>
          <w:ilvl w:val="0"/>
          <w:numId w:val="1001"/>
        </w:numPr>
      </w:pPr>
      <w:r>
        <w:t xml:space="preserve">Accesibilidad.</w:t>
      </w:r>
    </w:p>
    <w:p>
      <w:pPr>
        <w:pStyle w:val="Compact"/>
        <w:numPr>
          <w:ilvl w:val="0"/>
          <w:numId w:val="1001"/>
        </w:numPr>
      </w:pPr>
      <w:r>
        <w:t xml:space="preserve">Tipado estricto.</w:t>
      </w:r>
    </w:p>
    <w:p>
      <w:pPr>
        <w:pStyle w:val="Compact"/>
        <w:numPr>
          <w:ilvl w:val="0"/>
          <w:numId w:val="1001"/>
        </w:numPr>
      </w:pPr>
      <w:r>
        <w:t xml:space="preserve">Consistencia visual.</w:t>
      </w:r>
    </w:p>
    <w:p>
      <w:r>
        <w:pict>
          <v:rect style="width:0;height:1.5pt" o:hralign="center" o:hrstd="t" o:hr="t"/>
        </w:pict>
      </w:r>
    </w:p>
    <w:bookmarkEnd w:id="23"/>
    <w:bookmarkStart w:id="24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t xml:space="preserve">La biblioteca se organizará en niveles de abstracción.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Primitives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Composites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Patterns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Feature Components</w:t>
      </w:r>
    </w:p>
    <w:p>
      <w:pPr>
        <w:pStyle w:val="FirstParagraph"/>
      </w:pPr>
      <w:r>
        <w:t xml:space="preserve">Cada nivel solo podrá depender del nivel inmediatamente inferior.</w:t>
      </w:r>
    </w:p>
    <w:p>
      <w:r>
        <w:pict>
          <v:rect style="width:0;height:1.5pt" o:hralign="center" o:hrstd="t" o:hr="t"/>
        </w:pict>
      </w:r>
    </w:p>
    <w:bookmarkEnd w:id="24"/>
    <w:bookmarkStart w:id="25" w:name="nivel-1-design-tokens"/>
    <w:p>
      <w:pPr>
        <w:pStyle w:val="Heading1"/>
      </w:pPr>
      <w:r>
        <w:t xml:space="preserve">Nivel 1 — Design Tokens</w:t>
      </w:r>
    </w:p>
    <w:p>
      <w:pPr>
        <w:pStyle w:val="FirstParagraph"/>
      </w:pPr>
      <w:r>
        <w:t xml:space="preserve">Representan el lenguaje visual de la plataforma.</w:t>
      </w:r>
    </w:p>
    <w:p>
      <w:pPr>
        <w:pStyle w:val="BodyText"/>
      </w:pPr>
      <w:r>
        <w:t xml:space="preserve">Incluyen:</w:t>
      </w:r>
    </w:p>
    <w:p>
      <w:pPr>
        <w:pStyle w:val="Compact"/>
        <w:numPr>
          <w:ilvl w:val="0"/>
          <w:numId w:val="1002"/>
        </w:numPr>
      </w:pPr>
      <w:r>
        <w:t xml:space="preserve">Colores.</w:t>
      </w:r>
    </w:p>
    <w:p>
      <w:pPr>
        <w:pStyle w:val="Compact"/>
        <w:numPr>
          <w:ilvl w:val="0"/>
          <w:numId w:val="1002"/>
        </w:numPr>
      </w:pPr>
      <w:r>
        <w:t xml:space="preserve">Tipografía.</w:t>
      </w:r>
    </w:p>
    <w:p>
      <w:pPr>
        <w:pStyle w:val="Compact"/>
        <w:numPr>
          <w:ilvl w:val="0"/>
          <w:numId w:val="1002"/>
        </w:numPr>
      </w:pPr>
      <w:r>
        <w:t xml:space="preserve">Espaciado.</w:t>
      </w:r>
    </w:p>
    <w:p>
      <w:pPr>
        <w:pStyle w:val="Compact"/>
        <w:numPr>
          <w:ilvl w:val="0"/>
          <w:numId w:val="1002"/>
        </w:numPr>
      </w:pPr>
      <w:r>
        <w:t xml:space="preserve">Bordes.</w:t>
      </w:r>
    </w:p>
    <w:p>
      <w:pPr>
        <w:pStyle w:val="Compact"/>
        <w:numPr>
          <w:ilvl w:val="0"/>
          <w:numId w:val="1002"/>
        </w:numPr>
      </w:pPr>
      <w:r>
        <w:t xml:space="preserve">Sombras.</w:t>
      </w:r>
    </w:p>
    <w:p>
      <w:pPr>
        <w:pStyle w:val="Compact"/>
        <w:numPr>
          <w:ilvl w:val="0"/>
          <w:numId w:val="1002"/>
        </w:numPr>
      </w:pPr>
      <w:r>
        <w:t xml:space="preserve">Breakpoints.</w:t>
      </w:r>
    </w:p>
    <w:p>
      <w:pPr>
        <w:pStyle w:val="Compact"/>
        <w:numPr>
          <w:ilvl w:val="0"/>
          <w:numId w:val="1002"/>
        </w:numPr>
      </w:pPr>
      <w:r>
        <w:t xml:space="preserve">Animaciones.</w:t>
      </w:r>
    </w:p>
    <w:p>
      <w:pPr>
        <w:pStyle w:val="FirstParagraph"/>
      </w:pPr>
      <w:r>
        <w:t xml:space="preserve">No contienen componentes.</w:t>
      </w:r>
    </w:p>
    <w:p>
      <w:r>
        <w:pict>
          <v:rect style="width:0;height:1.5pt" o:hralign="center" o:hrstd="t" o:hr="t"/>
        </w:pict>
      </w:r>
    </w:p>
    <w:bookmarkEnd w:id="25"/>
    <w:bookmarkStart w:id="26" w:name="nivel-2-foundation"/>
    <w:p>
      <w:pPr>
        <w:pStyle w:val="Heading1"/>
      </w:pPr>
      <w:r>
        <w:t xml:space="preserve">Nivel 2 — Foundation</w:t>
      </w:r>
    </w:p>
    <w:p>
      <w:pPr>
        <w:pStyle w:val="FirstParagraph"/>
      </w:pPr>
      <w:r>
        <w:t xml:space="preserve">Proporciona elementos reutilizables para construir componentes.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Icon</w:t>
      </w:r>
    </w:p>
    <w:p>
      <w:pPr>
        <w:pStyle w:val="Compact"/>
        <w:numPr>
          <w:ilvl w:val="0"/>
          <w:numId w:val="1003"/>
        </w:numPr>
      </w:pPr>
      <w:r>
        <w:t xml:space="preserve">Typography</w:t>
      </w:r>
    </w:p>
    <w:p>
      <w:pPr>
        <w:pStyle w:val="Compact"/>
        <w:numPr>
          <w:ilvl w:val="0"/>
          <w:numId w:val="1003"/>
        </w:numPr>
      </w:pPr>
      <w:r>
        <w:t xml:space="preserve">Container</w:t>
      </w:r>
    </w:p>
    <w:p>
      <w:pPr>
        <w:pStyle w:val="Compact"/>
        <w:numPr>
          <w:ilvl w:val="0"/>
          <w:numId w:val="1003"/>
        </w:numPr>
      </w:pPr>
      <w:r>
        <w:t xml:space="preserve">Stack</w:t>
      </w:r>
    </w:p>
    <w:p>
      <w:pPr>
        <w:pStyle w:val="Compact"/>
        <w:numPr>
          <w:ilvl w:val="0"/>
          <w:numId w:val="1003"/>
        </w:numPr>
      </w:pPr>
      <w:r>
        <w:t xml:space="preserve">Grid</w:t>
      </w:r>
    </w:p>
    <w:p>
      <w:pPr>
        <w:pStyle w:val="Compact"/>
        <w:numPr>
          <w:ilvl w:val="0"/>
          <w:numId w:val="1003"/>
        </w:numPr>
      </w:pPr>
      <w:r>
        <w:t xml:space="preserve">Spacer</w:t>
      </w:r>
    </w:p>
    <w:p>
      <w:pPr>
        <w:pStyle w:val="Compact"/>
        <w:numPr>
          <w:ilvl w:val="0"/>
          <w:numId w:val="1003"/>
        </w:numPr>
      </w:pPr>
      <w:r>
        <w:t xml:space="preserve">Divider</w:t>
      </w:r>
    </w:p>
    <w:p>
      <w:pPr>
        <w:pStyle w:val="FirstParagraph"/>
      </w:pPr>
      <w:r>
        <w:t xml:space="preserve">No contienen reglas de negocio.</w:t>
      </w:r>
    </w:p>
    <w:p>
      <w:r>
        <w:pict>
          <v:rect style="width:0;height:1.5pt" o:hralign="center" o:hrstd="t" o:hr="t"/>
        </w:pict>
      </w:r>
    </w:p>
    <w:bookmarkEnd w:id="26"/>
    <w:bookmarkStart w:id="27" w:name="nivel-3-primitives"/>
    <w:p>
      <w:pPr>
        <w:pStyle w:val="Heading1"/>
      </w:pPr>
      <w:r>
        <w:t xml:space="preserve">Nivel 3 — Primitives</w:t>
      </w:r>
    </w:p>
    <w:p>
      <w:pPr>
        <w:pStyle w:val="FirstParagraph"/>
      </w:pPr>
      <w:r>
        <w:t xml:space="preserve">Son los bloques básicos de interacción.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Input</w:t>
      </w:r>
    </w:p>
    <w:p>
      <w:pPr>
        <w:pStyle w:val="Compact"/>
        <w:numPr>
          <w:ilvl w:val="0"/>
          <w:numId w:val="1004"/>
        </w:numPr>
      </w:pPr>
      <w:r>
        <w:t xml:space="preserve">Checkbox</w:t>
      </w:r>
    </w:p>
    <w:p>
      <w:pPr>
        <w:pStyle w:val="Compact"/>
        <w:numPr>
          <w:ilvl w:val="0"/>
          <w:numId w:val="1004"/>
        </w:numPr>
      </w:pPr>
      <w:r>
        <w:t xml:space="preserve">Radio</w:t>
      </w:r>
    </w:p>
    <w:p>
      <w:pPr>
        <w:pStyle w:val="Compact"/>
        <w:numPr>
          <w:ilvl w:val="0"/>
          <w:numId w:val="1004"/>
        </w:numPr>
      </w:pPr>
      <w:r>
        <w:t xml:space="preserve">Switch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</w:p>
    <w:p>
      <w:pPr>
        <w:pStyle w:val="Compact"/>
        <w:numPr>
          <w:ilvl w:val="0"/>
          <w:numId w:val="1004"/>
        </w:numPr>
      </w:pPr>
      <w:r>
        <w:t xml:space="preserve">Badge</w:t>
      </w:r>
    </w:p>
    <w:p>
      <w:pPr>
        <w:pStyle w:val="Compact"/>
        <w:numPr>
          <w:ilvl w:val="0"/>
          <w:numId w:val="1004"/>
        </w:numPr>
      </w:pPr>
      <w:r>
        <w:t xml:space="preserve">Avatar</w:t>
      </w:r>
    </w:p>
    <w:p>
      <w:pPr>
        <w:pStyle w:val="Compact"/>
        <w:numPr>
          <w:ilvl w:val="0"/>
          <w:numId w:val="1004"/>
        </w:numPr>
      </w:pPr>
      <w:r>
        <w:t xml:space="preserve">Chip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5"/>
        </w:numPr>
      </w:pPr>
      <w:r>
        <w:t xml:space="preserve">Independientes del dominio.</w:t>
      </w:r>
    </w:p>
    <w:p>
      <w:pPr>
        <w:pStyle w:val="Compact"/>
        <w:numPr>
          <w:ilvl w:val="0"/>
          <w:numId w:val="1005"/>
        </w:numPr>
      </w:pPr>
      <w:r>
        <w:t xml:space="preserve">Sin acceso a datos.</w:t>
      </w:r>
    </w:p>
    <w:p>
      <w:pPr>
        <w:pStyle w:val="Compact"/>
        <w:numPr>
          <w:ilvl w:val="0"/>
          <w:numId w:val="1005"/>
        </w:numPr>
      </w:pPr>
      <w:r>
        <w:t xml:space="preserve">Sin llamadas a servicios.</w:t>
      </w:r>
    </w:p>
    <w:p>
      <w:pPr>
        <w:pStyle w:val="Compact"/>
        <w:numPr>
          <w:ilvl w:val="0"/>
          <w:numId w:val="1005"/>
        </w:numPr>
      </w:pPr>
      <w:r>
        <w:t xml:space="preserve">Sin lógica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nivel-4-composites"/>
    <w:p>
      <w:pPr>
        <w:pStyle w:val="Heading1"/>
      </w:pPr>
      <w:r>
        <w:t xml:space="preserve">Nivel 4 — Composites</w:t>
      </w:r>
    </w:p>
    <w:p>
      <w:pPr>
        <w:pStyle w:val="FirstParagraph"/>
      </w:pPr>
      <w:r>
        <w:t xml:space="preserve">Combinan varios Primitives para resolver una necesidad de interfaz.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SearchBox</w:t>
      </w:r>
    </w:p>
    <w:p>
      <w:pPr>
        <w:pStyle w:val="Compact"/>
        <w:numPr>
          <w:ilvl w:val="0"/>
          <w:numId w:val="1006"/>
        </w:numPr>
      </w:pPr>
      <w:r>
        <w:t xml:space="preserve">PasswordField</w:t>
      </w:r>
    </w:p>
    <w:p>
      <w:pPr>
        <w:pStyle w:val="Compact"/>
        <w:numPr>
          <w:ilvl w:val="0"/>
          <w:numId w:val="1006"/>
        </w:numPr>
      </w:pPr>
      <w:r>
        <w:t xml:space="preserve">DateRangePicker</w:t>
      </w:r>
    </w:p>
    <w:p>
      <w:pPr>
        <w:pStyle w:val="Compact"/>
        <w:numPr>
          <w:ilvl w:val="0"/>
          <w:numId w:val="1006"/>
        </w:numPr>
      </w:pPr>
      <w:r>
        <w:t xml:space="preserve">Pagination</w:t>
      </w:r>
    </w:p>
    <w:p>
      <w:pPr>
        <w:pStyle w:val="Compact"/>
        <w:numPr>
          <w:ilvl w:val="0"/>
          <w:numId w:val="1006"/>
        </w:numPr>
      </w:pPr>
      <w:r>
        <w:t xml:space="preserve">Breadcrumb</w:t>
      </w:r>
    </w:p>
    <w:p>
      <w:pPr>
        <w:pStyle w:val="Compact"/>
        <w:numPr>
          <w:ilvl w:val="0"/>
          <w:numId w:val="1006"/>
        </w:numPr>
      </w:pPr>
      <w:r>
        <w:t xml:space="preserve">DataTable</w:t>
      </w:r>
    </w:p>
    <w:p>
      <w:pPr>
        <w:pStyle w:val="Compact"/>
        <w:numPr>
          <w:ilvl w:val="0"/>
          <w:numId w:val="1006"/>
        </w:numPr>
      </w:pPr>
      <w:r>
        <w:t xml:space="preserve">FileUploader</w:t>
      </w:r>
    </w:p>
    <w:p>
      <w:pPr>
        <w:pStyle w:val="FirstParagraph"/>
      </w:pPr>
      <w:r>
        <w:t xml:space="preserve">Los Composites pueden contener lógica de interacción, pero nunca lógica del negocio.</w:t>
      </w:r>
    </w:p>
    <w:p>
      <w:r>
        <w:pict>
          <v:rect style="width:0;height:1.5pt" o:hralign="center" o:hrstd="t" o:hr="t"/>
        </w:pict>
      </w:r>
    </w:p>
    <w:bookmarkEnd w:id="28"/>
    <w:bookmarkStart w:id="29" w:name="nivel-5-patterns"/>
    <w:p>
      <w:pPr>
        <w:pStyle w:val="Heading1"/>
      </w:pPr>
      <w:r>
        <w:t xml:space="preserve">Nivel 5 — Patterns</w:t>
      </w:r>
    </w:p>
    <w:p>
      <w:pPr>
        <w:pStyle w:val="FirstParagraph"/>
      </w:pPr>
      <w:r>
        <w:t xml:space="preserve">Representan patrones completos de interfaz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LoginForm</w:t>
      </w:r>
    </w:p>
    <w:p>
      <w:pPr>
        <w:pStyle w:val="Compact"/>
        <w:numPr>
          <w:ilvl w:val="0"/>
          <w:numId w:val="1007"/>
        </w:numPr>
      </w:pPr>
      <w:r>
        <w:t xml:space="preserve">CheckoutForm</w:t>
      </w:r>
    </w:p>
    <w:p>
      <w:pPr>
        <w:pStyle w:val="Compact"/>
        <w:numPr>
          <w:ilvl w:val="0"/>
          <w:numId w:val="1007"/>
        </w:numPr>
      </w:pPr>
      <w:r>
        <w:t xml:space="preserve">EmptyState</w:t>
      </w:r>
    </w:p>
    <w:p>
      <w:pPr>
        <w:pStyle w:val="Compact"/>
        <w:numPr>
          <w:ilvl w:val="0"/>
          <w:numId w:val="1007"/>
        </w:numPr>
      </w:pPr>
      <w:r>
        <w:t xml:space="preserve">FilterPanel</w:t>
      </w:r>
    </w:p>
    <w:p>
      <w:pPr>
        <w:pStyle w:val="Compact"/>
        <w:numPr>
          <w:ilvl w:val="0"/>
          <w:numId w:val="1007"/>
        </w:numPr>
      </w:pPr>
      <w:r>
        <w:t xml:space="preserve">ConfirmationDialog</w:t>
      </w:r>
    </w:p>
    <w:p>
      <w:pPr>
        <w:pStyle w:val="Compact"/>
        <w:numPr>
          <w:ilvl w:val="0"/>
          <w:numId w:val="1007"/>
        </w:numPr>
      </w:pPr>
      <w:r>
        <w:t xml:space="preserve">MasterDetailLayout</w:t>
      </w:r>
    </w:p>
    <w:p>
      <w:pPr>
        <w:pStyle w:val="FirstParagraph"/>
      </w:pPr>
      <w:r>
        <w:t xml:space="preserve">Estos patrones podrán utilizarse en diferentes dominios.</w:t>
      </w:r>
    </w:p>
    <w:p>
      <w:r>
        <w:pict>
          <v:rect style="width:0;height:1.5pt" o:hralign="center" o:hrstd="t" o:hr="t"/>
        </w:pict>
      </w:r>
    </w:p>
    <w:bookmarkEnd w:id="29"/>
    <w:bookmarkStart w:id="30" w:name="feature-components"/>
    <w:p>
      <w:pPr>
        <w:pStyle w:val="Heading1"/>
      </w:pPr>
      <w:r>
        <w:t xml:space="preserve">Feature Components</w:t>
      </w:r>
    </w:p>
    <w:p>
      <w:pPr>
        <w:pStyle w:val="FirstParagraph"/>
      </w:pPr>
      <w:r>
        <w:t xml:space="preserve">Los componentes específicos del negocio no pertenecen a la biblioteca UI.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AppointmentCalendar</w:t>
      </w:r>
    </w:p>
    <w:p>
      <w:pPr>
        <w:pStyle w:val="Compact"/>
        <w:numPr>
          <w:ilvl w:val="0"/>
          <w:numId w:val="1008"/>
        </w:numPr>
      </w:pPr>
      <w:r>
        <w:t xml:space="preserve">ProductCard</w:t>
      </w:r>
    </w:p>
    <w:p>
      <w:pPr>
        <w:pStyle w:val="Compact"/>
        <w:numPr>
          <w:ilvl w:val="0"/>
          <w:numId w:val="1008"/>
        </w:numPr>
      </w:pPr>
      <w:r>
        <w:t xml:space="preserve">CustomerProfile</w:t>
      </w:r>
    </w:p>
    <w:p>
      <w:pPr>
        <w:pStyle w:val="Compact"/>
        <w:numPr>
          <w:ilvl w:val="0"/>
          <w:numId w:val="1008"/>
        </w:numPr>
      </w:pPr>
      <w:r>
        <w:t xml:space="preserve">OrderTimeline</w:t>
      </w:r>
    </w:p>
    <w:p>
      <w:pPr>
        <w:pStyle w:val="FirstParagraph"/>
      </w:pPr>
      <w:r>
        <w:t xml:space="preserve">Se implementarán dentro del dominio correspondiente (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o paquete específico).</w:t>
      </w:r>
    </w:p>
    <w:p>
      <w:r>
        <w:pict>
          <v:rect style="width:0;height:1.5pt" o:hralign="center" o:hrstd="t" o:hr="t"/>
        </w:pict>
      </w:r>
    </w:p>
    <w:bookmarkEnd w:id="30"/>
    <w:bookmarkStart w:id="31" w:name="organización-física"/>
    <w:p>
      <w:pPr>
        <w:pStyle w:val="Heading1"/>
      </w:pPr>
      <w:r>
        <w:t xml:space="preserve">Organización Física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foundation/</w:t>
      </w:r>
      <w:r>
        <w:br/>
      </w:r>
      <w:r>
        <w:rPr>
          <w:rStyle w:val="VerbatimChar"/>
        </w:rPr>
        <w:t xml:space="preserve">    ├── primitives/</w:t>
      </w:r>
      <w:r>
        <w:br/>
      </w:r>
      <w:r>
        <w:rPr>
          <w:rStyle w:val="VerbatimChar"/>
        </w:rPr>
        <w:t xml:space="preserve">    ├── composites/</w:t>
      </w:r>
      <w:r>
        <w:br/>
      </w:r>
      <w:r>
        <w:rPr>
          <w:rStyle w:val="VerbatimChar"/>
        </w:rPr>
        <w:t xml:space="preserve">    ├── patterns/</w:t>
      </w:r>
      <w:r>
        <w:br/>
      </w:r>
      <w:r>
        <w:rPr>
          <w:rStyle w:val="VerbatimChar"/>
        </w:rPr>
        <w:t xml:space="preserve">    ├── layout/</w:t>
      </w:r>
      <w:r>
        <w:br/>
      </w:r>
      <w:r>
        <w:rPr>
          <w:rStyle w:val="VerbatimChar"/>
        </w:rPr>
        <w:t xml:space="preserve">    ├── feedback/</w:t>
      </w:r>
      <w:r>
        <w:br/>
      </w:r>
      <w:r>
        <w:rPr>
          <w:rStyle w:val="VerbatimChar"/>
        </w:rPr>
        <w:t xml:space="preserve">    ├── navigation/</w:t>
      </w:r>
      <w:r>
        <w:br/>
      </w:r>
      <w:r>
        <w:rPr>
          <w:rStyle w:val="VerbatimChar"/>
        </w:rPr>
        <w:t xml:space="preserve">    ├── overlays/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├── theme/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La estructura física refleja los niveles definidos en la arquitectura.</w:t>
      </w:r>
    </w:p>
    <w:p>
      <w:r>
        <w:pict>
          <v:rect style="width:0;height:1.5pt" o:hralign="center" o:hrstd="t" o:hr="t"/>
        </w:pict>
      </w:r>
    </w:p>
    <w:bookmarkEnd w:id="31"/>
    <w:bookmarkStart w:id="32" w:name="dependencias-permitidas"/>
    <w:p>
      <w:pPr>
        <w:pStyle w:val="Heading1"/>
      </w:pPr>
      <w:r>
        <w:t xml:space="preserve">Dependencias Permitidas</w:t>
      </w:r>
    </w:p>
    <w:p>
      <w:pPr>
        <w:pStyle w:val="SourceCode"/>
      </w:pPr>
      <w:r>
        <w:rPr>
          <w:rStyle w:val="VerbatimChar"/>
        </w:rPr>
        <w:t xml:space="preserve">Patterns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Composites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Primitives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Design Tokens</w:t>
      </w:r>
    </w:p>
    <w:p>
      <w:pPr>
        <w:pStyle w:val="FirstParagraph"/>
      </w:pPr>
      <w:r>
        <w:t xml:space="preserve">No se permiten dependencias en sentido inverso.</w:t>
      </w:r>
    </w:p>
    <w:p>
      <w:r>
        <w:pict>
          <v:rect style="width:0;height:1.5pt" o:hralign="center" o:hrstd="t" o:hr="t"/>
        </w:pict>
      </w:r>
    </w:p>
    <w:bookmarkEnd w:id="32"/>
    <w:bookmarkStart w:id="33" w:name="reglas-de-desarrollo"/>
    <w:p>
      <w:pPr>
        <w:pStyle w:val="Heading1"/>
      </w:pPr>
      <w:r>
        <w:t xml:space="preserve">Reglas de Desarrollo</w:t>
      </w:r>
    </w:p>
    <w:p>
      <w:pPr>
        <w:pStyle w:val="FirstParagraph"/>
      </w:pPr>
      <w:r>
        <w:t xml:space="preserve">Todo componente deberá:</w:t>
      </w:r>
    </w:p>
    <w:p>
      <w:pPr>
        <w:pStyle w:val="Compact"/>
        <w:numPr>
          <w:ilvl w:val="0"/>
          <w:numId w:val="1009"/>
        </w:numPr>
      </w:pPr>
      <w:r>
        <w:t xml:space="preserve">Tener una única responsabilidad.</w:t>
      </w:r>
    </w:p>
    <w:p>
      <w:pPr>
        <w:pStyle w:val="Compact"/>
        <w:numPr>
          <w:ilvl w:val="0"/>
          <w:numId w:val="1009"/>
        </w:numPr>
      </w:pPr>
      <w:r>
        <w:t xml:space="preserve">Estar completamente tipado.</w:t>
      </w:r>
    </w:p>
    <w:p>
      <w:pPr>
        <w:pStyle w:val="Compact"/>
        <w:numPr>
          <w:ilvl w:val="0"/>
          <w:numId w:val="1009"/>
        </w:numPr>
      </w:pPr>
      <w:r>
        <w:t xml:space="preserve">Documentar sus propiedades públicas.</w:t>
      </w:r>
    </w:p>
    <w:p>
      <w:pPr>
        <w:pStyle w:val="Compact"/>
        <w:numPr>
          <w:ilvl w:val="0"/>
          <w:numId w:val="1009"/>
        </w:numPr>
      </w:pPr>
      <w:r>
        <w:t xml:space="preserve">Ser reutilizable.</w:t>
      </w:r>
    </w:p>
    <w:p>
      <w:pPr>
        <w:pStyle w:val="Compact"/>
        <w:numPr>
          <w:ilvl w:val="0"/>
          <w:numId w:val="1009"/>
        </w:numPr>
      </w:pPr>
      <w:r>
        <w:t xml:space="preserve">Soportar accesibilidad.</w:t>
      </w:r>
    </w:p>
    <w:p>
      <w:pPr>
        <w:pStyle w:val="Compact"/>
        <w:numPr>
          <w:ilvl w:val="0"/>
          <w:numId w:val="1009"/>
        </w:numPr>
      </w:pPr>
      <w:r>
        <w:t xml:space="preserve">Utilizar exclusivamente Design Tokens.</w:t>
      </w:r>
    </w:p>
    <w:p>
      <w:pPr>
        <w:pStyle w:val="Compact"/>
        <w:numPr>
          <w:ilvl w:val="0"/>
          <w:numId w:val="1009"/>
        </w:numPr>
      </w:pPr>
      <w:r>
        <w:t xml:space="preserve">Evitar dependencias con módulos de negocio.</w:t>
      </w:r>
    </w:p>
    <w:p>
      <w:r>
        <w:pict>
          <v:rect style="width:0;height:1.5pt" o:hralign="center" o:hrstd="t" o:hr="t"/>
        </w:pict>
      </w:r>
    </w:p>
    <w:bookmarkEnd w:id="33"/>
    <w:bookmarkStart w:id="34" w:name="variantes"/>
    <w:p>
      <w:pPr>
        <w:pStyle w:val="Heading1"/>
      </w:pPr>
      <w:r>
        <w:t xml:space="preserve">Variantes</w:t>
      </w:r>
    </w:p>
    <w:p>
      <w:pPr>
        <w:pStyle w:val="FirstParagraph"/>
      </w:pPr>
      <w:r>
        <w:t xml:space="preserve">Las variantes visuales deberán implementarse mediante propiedades tipadas.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Tamaño.</w:t>
      </w:r>
    </w:p>
    <w:p>
      <w:pPr>
        <w:pStyle w:val="Compact"/>
        <w:numPr>
          <w:ilvl w:val="0"/>
          <w:numId w:val="1010"/>
        </w:numPr>
      </w:pPr>
      <w:r>
        <w:t xml:space="preserve">Estado.</w:t>
      </w:r>
    </w:p>
    <w:p>
      <w:pPr>
        <w:pStyle w:val="Compact"/>
        <w:numPr>
          <w:ilvl w:val="0"/>
          <w:numId w:val="1010"/>
        </w:numPr>
      </w:pPr>
      <w:r>
        <w:t xml:space="preserve">Apariencia.</w:t>
      </w:r>
    </w:p>
    <w:p>
      <w:pPr>
        <w:pStyle w:val="Compact"/>
        <w:numPr>
          <w:ilvl w:val="0"/>
          <w:numId w:val="1010"/>
        </w:numPr>
      </w:pPr>
      <w:r>
        <w:t xml:space="preserve">Densidad.</w:t>
      </w:r>
    </w:p>
    <w:p>
      <w:pPr>
        <w:pStyle w:val="FirstParagraph"/>
      </w:pPr>
      <w:r>
        <w:t xml:space="preserve">No se crearán componentes duplicados para pequeñas diferencias visuales.</w:t>
      </w:r>
    </w:p>
    <w:p>
      <w:r>
        <w:pict>
          <v:rect style="width:0;height:1.5pt" o:hralign="center" o:hrstd="t" o:hr="t"/>
        </w:pict>
      </w:r>
    </w:p>
    <w:bookmarkEnd w:id="34"/>
    <w:bookmarkStart w:id="35" w:name="documentación"/>
    <w:p>
      <w:pPr>
        <w:pStyle w:val="Heading1"/>
      </w:pPr>
      <w:r>
        <w:t xml:space="preserve">Documentación</w:t>
      </w:r>
    </w:p>
    <w:p>
      <w:pPr>
        <w:pStyle w:val="FirstParagraph"/>
      </w:pPr>
      <w:r>
        <w:t xml:space="preserve">Cada componente incluirá:</w:t>
      </w:r>
    </w:p>
    <w:p>
      <w:pPr>
        <w:pStyle w:val="Compact"/>
        <w:numPr>
          <w:ilvl w:val="0"/>
          <w:numId w:val="1011"/>
        </w:numPr>
      </w:pPr>
      <w:r>
        <w:t xml:space="preserve">Objetivo.</w:t>
      </w:r>
    </w:p>
    <w:p>
      <w:pPr>
        <w:pStyle w:val="Compact"/>
        <w:numPr>
          <w:ilvl w:val="0"/>
          <w:numId w:val="1011"/>
        </w:numPr>
      </w:pPr>
      <w:r>
        <w:t xml:space="preserve">Responsabilidad.</w:t>
      </w:r>
    </w:p>
    <w:p>
      <w:pPr>
        <w:pStyle w:val="Compact"/>
        <w:numPr>
          <w:ilvl w:val="0"/>
          <w:numId w:val="1011"/>
        </w:numPr>
      </w:pPr>
      <w:r>
        <w:t xml:space="preserve">API pública.</w:t>
      </w:r>
    </w:p>
    <w:p>
      <w:pPr>
        <w:pStyle w:val="Compact"/>
        <w:numPr>
          <w:ilvl w:val="0"/>
          <w:numId w:val="1011"/>
        </w:numPr>
      </w:pPr>
      <w:r>
        <w:t xml:space="preserve">Ejemplos de uso.</w:t>
      </w:r>
    </w:p>
    <w:p>
      <w:pPr>
        <w:pStyle w:val="Compact"/>
        <w:numPr>
          <w:ilvl w:val="0"/>
          <w:numId w:val="1011"/>
        </w:numPr>
      </w:pPr>
      <w:r>
        <w:t xml:space="preserve">Restricciones.</w:t>
      </w:r>
    </w:p>
    <w:p>
      <w:pPr>
        <w:pStyle w:val="Compact"/>
        <w:numPr>
          <w:ilvl w:val="0"/>
          <w:numId w:val="1011"/>
        </w:numPr>
      </w:pPr>
      <w:r>
        <w:t xml:space="preserve">Consideraciones de accesibilidad.</w:t>
      </w:r>
    </w:p>
    <w:p>
      <w:r>
        <w:pict>
          <v:rect style="width:0;height:1.5pt" o:hralign="center" o:hrstd="t" o:hr="t"/>
        </w:pict>
      </w:r>
    </w:p>
    <w:bookmarkEnd w:id="35"/>
    <w:bookmarkStart w:id="36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Todos los componentes deberán contar con:</w:t>
      </w:r>
    </w:p>
    <w:p>
      <w:pPr>
        <w:pStyle w:val="Compact"/>
        <w:numPr>
          <w:ilvl w:val="0"/>
          <w:numId w:val="1012"/>
        </w:numPr>
      </w:pPr>
      <w:r>
        <w:t xml:space="preserve">Pruebas unitarias.</w:t>
      </w:r>
    </w:p>
    <w:p>
      <w:pPr>
        <w:pStyle w:val="Compact"/>
        <w:numPr>
          <w:ilvl w:val="0"/>
          <w:numId w:val="1012"/>
        </w:numPr>
      </w:pPr>
      <w:r>
        <w:t xml:space="preserve">Pruebas de accesibilidad.</w:t>
      </w:r>
    </w:p>
    <w:p>
      <w:pPr>
        <w:pStyle w:val="Compact"/>
        <w:numPr>
          <w:ilvl w:val="0"/>
          <w:numId w:val="1012"/>
        </w:numPr>
      </w:pPr>
      <w:r>
        <w:t xml:space="preserve">Validación de variantes principales.</w:t>
      </w:r>
    </w:p>
    <w:p>
      <w:r>
        <w:pict>
          <v:rect style="width:0;height:1.5pt" o:hralign="center" o:hrstd="t" o:hr="t"/>
        </w:pict>
      </w:r>
    </w:p>
    <w:bookmarkEnd w:id="36"/>
    <w:bookmarkStart w:id="37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3"/>
        </w:numPr>
      </w:pPr>
      <w:r>
        <w:t xml:space="preserve">Crear componentes demasiado específicos.</w:t>
      </w:r>
    </w:p>
    <w:p>
      <w:pPr>
        <w:pStyle w:val="Compact"/>
        <w:numPr>
          <w:ilvl w:val="0"/>
          <w:numId w:val="1013"/>
        </w:numPr>
      </w:pPr>
      <w:r>
        <w:t xml:space="preserve">Mezclar lógica de negocio con presentación.</w:t>
      </w:r>
    </w:p>
    <w:p>
      <w:pPr>
        <w:pStyle w:val="Compact"/>
        <w:numPr>
          <w:ilvl w:val="0"/>
          <w:numId w:val="1013"/>
        </w:numPr>
      </w:pPr>
      <w:r>
        <w:t xml:space="preserve">Duplicar componentes similares.</w:t>
      </w:r>
    </w:p>
    <w:p>
      <w:pPr>
        <w:pStyle w:val="Compact"/>
        <w:numPr>
          <w:ilvl w:val="0"/>
          <w:numId w:val="1013"/>
        </w:numPr>
      </w:pPr>
      <w:r>
        <w:t xml:space="preserve">Romper la jerarquía de dependencias.</w:t>
      </w:r>
    </w:p>
    <w:p>
      <w:pPr>
        <w:pStyle w:val="FirstParagraph"/>
      </w:pPr>
      <w:r>
        <w:t xml:space="preserve">Toda excepción requerirá una revisión arquitectónica.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4"/>
        </w:numPr>
      </w:pPr>
      <w:r>
        <w:t xml:space="preserve">Niveles de abstracción definidos.</w:t>
      </w:r>
    </w:p>
    <w:p>
      <w:pPr>
        <w:pStyle w:val="Compact"/>
        <w:numPr>
          <w:ilvl w:val="0"/>
          <w:numId w:val="1014"/>
        </w:numPr>
      </w:pPr>
      <w:r>
        <w:t xml:space="preserve">Organización física aprobada.</w:t>
      </w:r>
    </w:p>
    <w:p>
      <w:pPr>
        <w:pStyle w:val="Compact"/>
        <w:numPr>
          <w:ilvl w:val="0"/>
          <w:numId w:val="1014"/>
        </w:numPr>
      </w:pPr>
      <w:r>
        <w:t xml:space="preserve">Dependencias documentadas.</w:t>
      </w:r>
    </w:p>
    <w:p>
      <w:pPr>
        <w:pStyle w:val="Compact"/>
        <w:numPr>
          <w:ilvl w:val="0"/>
          <w:numId w:val="1014"/>
        </w:numPr>
      </w:pPr>
      <w:r>
        <w:t xml:space="preserve">Reglas de desarrollo establecidas.</w:t>
      </w:r>
    </w:p>
    <w:p>
      <w:pPr>
        <w:pStyle w:val="Compact"/>
        <w:numPr>
          <w:ilvl w:val="0"/>
          <w:numId w:val="1014"/>
        </w:numPr>
      </w:pPr>
      <w:r>
        <w:t xml:space="preserve">Estrategia de variantes definida.</w:t>
      </w:r>
    </w:p>
    <w:p>
      <w:pPr>
        <w:pStyle w:val="Compact"/>
        <w:numPr>
          <w:ilvl w:val="0"/>
          <w:numId w:val="1014"/>
        </w:numPr>
      </w:pPr>
      <w:r>
        <w:t xml:space="preserve">Estrategia de documentación definida.</w:t>
      </w:r>
    </w:p>
    <w:p>
      <w:pPr>
        <w:pStyle w:val="Compact"/>
        <w:numPr>
          <w:ilvl w:val="0"/>
          <w:numId w:val="1014"/>
        </w:numPr>
      </w:pPr>
      <w:r>
        <w:t xml:space="preserve">Estrategia de pruebas definida.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r>
        <w:t xml:space="preserve">UI001_DESIGN_TOKEN_SYSTEM.md</w:t>
      </w:r>
    </w:p>
    <w:p>
      <w:pPr>
        <w:pStyle w:val="Compact"/>
        <w:numPr>
          <w:ilvl w:val="0"/>
          <w:numId w:val="1015"/>
        </w:numPr>
      </w:pPr>
      <w:r>
        <w:t xml:space="preserve">A003_UI_COMPONENT_ARCHITECTURE.md</w:t>
      </w:r>
    </w:p>
    <w:p>
      <w:pPr>
        <w:pStyle w:val="Compact"/>
        <w:numPr>
          <w:ilvl w:val="0"/>
          <w:numId w:val="1015"/>
        </w:numPr>
      </w:pPr>
      <w:r>
        <w:t xml:space="preserve">MONO001_MONOREPOSITORY_ARCHITECTURE.md</w:t>
      </w:r>
    </w:p>
    <w:p>
      <w:pPr>
        <w:pStyle w:val="Compact"/>
        <w:numPr>
          <w:ilvl w:val="0"/>
          <w:numId w:val="1015"/>
        </w:numPr>
      </w:pPr>
      <w:r>
        <w:t xml:space="preserve">CORE001_PLATFORM_FOUNDATION_ARCHITECTURE.md</w:t>
      </w:r>
    </w:p>
    <w:p>
      <w:r>
        <w:pict>
          <v:rect style="width:0;height:1.5pt" o:hralign="center" o:hrstd="t" o:hr="t"/>
        </w:pict>
      </w:r>
    </w:p>
    <w:bookmarkEnd w:id="39"/>
    <w:bookmarkStart w:id="4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clasificación de componentes.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2026-06-30T16:57:29Z</dcterms:created>
  <dcterms:modified xsi:type="dcterms:W3CDTF">2026-06-30T16:57:29Z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