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ui004-layout-system-architecture"/>
    <w:p>
      <w:pPr>
        <w:pStyle w:val="Heading1"/>
      </w:pPr>
      <w:r>
        <w:t xml:space="preserve">UI004 — LAYOUT SYSTEM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sistema de layouts de la plataforma.</w:t>
      </w:r>
    </w:p>
    <w:p>
      <w:pPr>
        <w:pStyle w:val="BodyText"/>
      </w:pPr>
      <w:r>
        <w:t xml:space="preserve">El Layout System establece las reglas para organizar visualmente cualquier pantalla, garantizando consistencia, accesibilidad y adaptabilidad en todos los módulos.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Portal público.</w:t>
      </w:r>
    </w:p>
    <w:p>
      <w:pPr>
        <w:pStyle w:val="Compact"/>
        <w:numPr>
          <w:ilvl w:val="0"/>
          <w:numId w:val="1001"/>
        </w:numPr>
      </w:pPr>
      <w:r>
        <w:t xml:space="preserve">Panel administrativo.</w:t>
      </w:r>
    </w:p>
    <w:p>
      <w:pPr>
        <w:pStyle w:val="Compact"/>
        <w:numPr>
          <w:ilvl w:val="0"/>
          <w:numId w:val="1001"/>
        </w:numPr>
      </w:pPr>
      <w:r>
        <w:t xml:space="preserve">Área del cliente.</w:t>
      </w:r>
    </w:p>
    <w:p>
      <w:pPr>
        <w:pStyle w:val="Compact"/>
        <w:numPr>
          <w:ilvl w:val="0"/>
          <w:numId w:val="1001"/>
        </w:numPr>
      </w:pPr>
      <w:r>
        <w:t xml:space="preserve">Portal de especialistas.</w:t>
      </w:r>
    </w:p>
    <w:p>
      <w:pPr>
        <w:pStyle w:val="Compact"/>
        <w:numPr>
          <w:ilvl w:val="0"/>
          <w:numId w:val="1001"/>
        </w:numPr>
      </w:pPr>
      <w:r>
        <w:t xml:space="preserve">Componentes reutilizables.</w:t>
      </w:r>
    </w:p>
    <w:p>
      <w:pPr>
        <w:pStyle w:val="Compact"/>
        <w:numPr>
          <w:ilvl w:val="0"/>
          <w:numId w:val="1001"/>
        </w:numPr>
      </w:pPr>
      <w:r>
        <w:t xml:space="preserve">Dashboards.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Tablas.</w:t>
      </w:r>
    </w:p>
    <w:p>
      <w:pPr>
        <w:pStyle w:val="Compact"/>
        <w:numPr>
          <w:ilvl w:val="0"/>
          <w:numId w:val="1001"/>
        </w:numPr>
      </w:pPr>
      <w:r>
        <w:t xml:space="preserve">Módulos futuros.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layout deberá cumplir:</w:t>
      </w:r>
    </w:p>
    <w:p>
      <w:pPr>
        <w:pStyle w:val="Compact"/>
        <w:numPr>
          <w:ilvl w:val="0"/>
          <w:numId w:val="1002"/>
        </w:numPr>
      </w:pPr>
      <w:r>
        <w:t xml:space="preserve">Mobile First.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Accesibilidad.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Composición.</w:t>
      </w:r>
    </w:p>
    <w:p>
      <w:pPr>
        <w:pStyle w:val="Compact"/>
        <w:numPr>
          <w:ilvl w:val="0"/>
          <w:numId w:val="1002"/>
        </w:numPr>
      </w:pPr>
      <w:r>
        <w:t xml:space="preserve">Escalabilidad.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Layout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Component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Content</w:t>
      </w:r>
    </w:p>
    <w:p>
      <w:pPr>
        <w:pStyle w:val="FirstParagraph"/>
      </w:pPr>
      <w:r>
        <w:t xml:space="preserve">Cada nivel tiene una responsabilidad única.</w:t>
      </w:r>
    </w:p>
    <w:p>
      <w:r>
        <w:pict>
          <v:rect style="width:0;height:1.5pt" o:hralign="center" o:hrstd="t" o:hr="t"/>
        </w:pict>
      </w:r>
    </w:p>
    <w:bookmarkEnd w:id="25"/>
    <w:bookmarkStart w:id="32" w:name="jerarquía"/>
    <w:p>
      <w:pPr>
        <w:pStyle w:val="Heading1"/>
      </w:pPr>
      <w:r>
        <w:t xml:space="preserve">Jerarquía</w:t>
      </w:r>
    </w:p>
    <w:bookmarkStart w:id="26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Representa una aplicación completa.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Web</w:t>
      </w:r>
    </w:p>
    <w:p>
      <w:pPr>
        <w:pStyle w:val="Compact"/>
        <w:numPr>
          <w:ilvl w:val="0"/>
          <w:numId w:val="1003"/>
        </w:numPr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Specialist</w:t>
      </w:r>
    </w:p>
    <w:p>
      <w:r>
        <w:pict>
          <v:rect style="width:0;height:1.5pt" o:hralign="center" o:hrstd="t" o:hr="t"/>
        </w:pict>
      </w:r>
    </w:p>
    <w:bookmarkEnd w:id="26"/>
    <w:bookmarkStart w:id="27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Determina la estructura principal.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PublicLayout</w:t>
      </w:r>
    </w:p>
    <w:p>
      <w:pPr>
        <w:pStyle w:val="Compact"/>
        <w:numPr>
          <w:ilvl w:val="0"/>
          <w:numId w:val="1004"/>
        </w:numPr>
      </w:pPr>
      <w:r>
        <w:t xml:space="preserve">AdminLayout</w:t>
      </w:r>
    </w:p>
    <w:p>
      <w:pPr>
        <w:pStyle w:val="Compact"/>
        <w:numPr>
          <w:ilvl w:val="0"/>
          <w:numId w:val="1004"/>
        </w:numPr>
      </w:pPr>
      <w:r>
        <w:t xml:space="preserve">ClientLayout</w:t>
      </w:r>
    </w:p>
    <w:p>
      <w:pPr>
        <w:pStyle w:val="Compact"/>
        <w:numPr>
          <w:ilvl w:val="0"/>
          <w:numId w:val="1004"/>
        </w:numPr>
      </w:pPr>
      <w:r>
        <w:t xml:space="preserve">AuthLayout</w:t>
      </w:r>
    </w:p>
    <w:p>
      <w:pPr>
        <w:pStyle w:val="FirstParagraph"/>
      </w:pPr>
      <w:r>
        <w:t xml:space="preserve">Un Layout define navegación, cabecera, pie de página y regiones principales.</w:t>
      </w:r>
    </w:p>
    <w:p>
      <w:r>
        <w:pict>
          <v:rect style="width:0;height:1.5pt" o:hralign="center" o:hrstd="t" o:hr="t"/>
        </w:pict>
      </w:r>
    </w:p>
    <w:bookmarkEnd w:id="27"/>
    <w:bookmarkStart w:id="28" w:name="page"/>
    <w:p>
      <w:pPr>
        <w:pStyle w:val="Heading2"/>
      </w:pPr>
      <w:r>
        <w:t xml:space="preserve">Page</w:t>
      </w:r>
    </w:p>
    <w:p>
      <w:pPr>
        <w:pStyle w:val="FirstParagraph"/>
      </w:pPr>
      <w:r>
        <w:t xml:space="preserve">Representa una vista funcional.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Home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Product Detail</w:t>
      </w:r>
    </w:p>
    <w:p>
      <w:pPr>
        <w:pStyle w:val="Compact"/>
        <w:numPr>
          <w:ilvl w:val="0"/>
          <w:numId w:val="1005"/>
        </w:numPr>
      </w:pPr>
      <w:r>
        <w:t xml:space="preserve">Appointment Calendar</w:t>
      </w:r>
    </w:p>
    <w:p>
      <w:pPr>
        <w:pStyle w:val="FirstParagraph"/>
      </w:pPr>
      <w:r>
        <w:t xml:space="preserve">Una Page nunca define la navegación global.</w:t>
      </w:r>
    </w:p>
    <w:p>
      <w:r>
        <w:pict>
          <v:rect style="width:0;height:1.5pt" o:hralign="center" o:hrstd="t" o:hr="t"/>
        </w:pict>
      </w:r>
    </w:p>
    <w:bookmarkEnd w:id="28"/>
    <w:bookmarkStart w:id="29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Agrupa contenido relacionado.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Hero</w:t>
      </w:r>
    </w:p>
    <w:p>
      <w:pPr>
        <w:pStyle w:val="Compact"/>
        <w:numPr>
          <w:ilvl w:val="0"/>
          <w:numId w:val="1006"/>
        </w:numPr>
      </w:pPr>
      <w:r>
        <w:t xml:space="preserve">Featured Products</w:t>
      </w:r>
    </w:p>
    <w:p>
      <w:pPr>
        <w:pStyle w:val="Compact"/>
        <w:numPr>
          <w:ilvl w:val="0"/>
          <w:numId w:val="1006"/>
        </w:numPr>
      </w:pPr>
      <w:r>
        <w:t xml:space="preserve">Upcoming Appointments</w:t>
      </w:r>
    </w:p>
    <w:p>
      <w:pPr>
        <w:pStyle w:val="Compact"/>
        <w:numPr>
          <w:ilvl w:val="0"/>
          <w:numId w:val="1006"/>
        </w:numPr>
      </w:pPr>
      <w:r>
        <w:t xml:space="preserve">Customer Information</w:t>
      </w:r>
    </w:p>
    <w:p>
      <w:pPr>
        <w:pStyle w:val="FirstParagraph"/>
      </w:pPr>
      <w:r>
        <w:t xml:space="preserve">Las secciones favorecen la reutilización y la organización.</w:t>
      </w:r>
    </w:p>
    <w:p>
      <w:r>
        <w:pict>
          <v:rect style="width:0;height:1.5pt" o:hralign="center" o:hrstd="t" o:hr="t"/>
        </w:pict>
      </w:r>
    </w:p>
    <w:bookmarkEnd w:id="29"/>
    <w:bookmarkStart w:id="30" w:name="container"/>
    <w:p>
      <w:pPr>
        <w:pStyle w:val="Heading2"/>
      </w:pPr>
      <w:r>
        <w:t xml:space="preserve">Container</w:t>
      </w:r>
    </w:p>
    <w:p>
      <w:pPr>
        <w:pStyle w:val="FirstParagraph"/>
      </w:pPr>
      <w:r>
        <w:t xml:space="preserve">Controla el ancho y el espaciado del contenido.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7"/>
        </w:numPr>
      </w:pPr>
      <w:r>
        <w:t xml:space="preserve">Anchura máxima.</w:t>
      </w:r>
    </w:p>
    <w:p>
      <w:pPr>
        <w:pStyle w:val="Compact"/>
        <w:numPr>
          <w:ilvl w:val="0"/>
          <w:numId w:val="1007"/>
        </w:numPr>
      </w:pPr>
      <w:r>
        <w:t xml:space="preserve">Márgenes.</w:t>
      </w:r>
    </w:p>
    <w:p>
      <w:pPr>
        <w:pStyle w:val="Compact"/>
        <w:numPr>
          <w:ilvl w:val="0"/>
          <w:numId w:val="1007"/>
        </w:numPr>
      </w:pPr>
      <w:r>
        <w:t xml:space="preserve">Padding.</w:t>
      </w:r>
    </w:p>
    <w:p>
      <w:pPr>
        <w:pStyle w:val="Compact"/>
        <w:numPr>
          <w:ilvl w:val="0"/>
          <w:numId w:val="1007"/>
        </w:numPr>
      </w:pPr>
      <w:r>
        <w:t xml:space="preserve">Centrado.</w:t>
      </w:r>
    </w:p>
    <w:p>
      <w:pPr>
        <w:pStyle w:val="FirstParagraph"/>
      </w:pPr>
      <w:r>
        <w:t xml:space="preserve">Todos los contenedores deberán utilizar el mismo sistema de medidas.</w:t>
      </w:r>
    </w:p>
    <w:p>
      <w:r>
        <w:pict>
          <v:rect style="width:0;height:1.5pt" o:hralign="center" o:hrstd="t" o:hr="t"/>
        </w:pict>
      </w:r>
    </w:p>
    <w:bookmarkEnd w:id="30"/>
    <w:bookmarkStart w:id="31" w:name="grid"/>
    <w:p>
      <w:pPr>
        <w:pStyle w:val="Heading2"/>
      </w:pPr>
      <w:r>
        <w:t xml:space="preserve">Grid</w:t>
      </w:r>
    </w:p>
    <w:p>
      <w:pPr>
        <w:pStyle w:val="FirstParagraph"/>
      </w:pPr>
      <w:r>
        <w:t xml:space="preserve">Sistema oficial de distribución.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8"/>
        </w:numPr>
      </w:pPr>
      <w:r>
        <w:t xml:space="preserve">Responsive.</w:t>
      </w:r>
    </w:p>
    <w:p>
      <w:pPr>
        <w:pStyle w:val="Compact"/>
        <w:numPr>
          <w:ilvl w:val="0"/>
          <w:numId w:val="1008"/>
        </w:numPr>
      </w:pPr>
      <w:r>
        <w:t xml:space="preserve">Basado en columnas.</w:t>
      </w:r>
    </w:p>
    <w:p>
      <w:pPr>
        <w:pStyle w:val="Compact"/>
        <w:numPr>
          <w:ilvl w:val="0"/>
          <w:numId w:val="1008"/>
        </w:numPr>
      </w:pPr>
      <w:r>
        <w:t xml:space="preserve">Separación uniforme.</w:t>
      </w:r>
    </w:p>
    <w:p>
      <w:pPr>
        <w:pStyle w:val="Compact"/>
        <w:numPr>
          <w:ilvl w:val="0"/>
          <w:numId w:val="1008"/>
        </w:numPr>
      </w:pPr>
      <w:r>
        <w:t xml:space="preserve">Adaptable a distintos dispositivos.</w:t>
      </w:r>
    </w:p>
    <w:p>
      <w:pPr>
        <w:pStyle w:val="FirstParagraph"/>
      </w:pPr>
      <w:r>
        <w:t xml:space="preserve">El Grid será la única forma recomendada de organizar bloques de contenido.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layouts-oficiales"/>
    <w:p>
      <w:pPr>
        <w:pStyle w:val="Heading1"/>
      </w:pPr>
      <w:r>
        <w:t xml:space="preserve">Layouts Oficiales</w:t>
      </w:r>
    </w:p>
    <w:bookmarkStart w:id="33" w:name="publiclayout"/>
    <w:p>
      <w:pPr>
        <w:pStyle w:val="Heading2"/>
      </w:pPr>
      <w:r>
        <w:t xml:space="preserve">PublicLayout</w:t>
      </w:r>
    </w:p>
    <w:p>
      <w:pPr>
        <w:pStyle w:val="FirstParagraph"/>
      </w:pPr>
      <w:r>
        <w:t xml:space="preserve">Utilizado por:</w:t>
      </w:r>
    </w:p>
    <w:p>
      <w:pPr>
        <w:pStyle w:val="Compact"/>
        <w:numPr>
          <w:ilvl w:val="0"/>
          <w:numId w:val="1009"/>
        </w:numPr>
      </w:pPr>
      <w:r>
        <w:t xml:space="preserve">Inicio.</w:t>
      </w:r>
    </w:p>
    <w:p>
      <w:pPr>
        <w:pStyle w:val="Compact"/>
        <w:numPr>
          <w:ilvl w:val="0"/>
          <w:numId w:val="1009"/>
        </w:numPr>
      </w:pPr>
      <w:r>
        <w:t xml:space="preserve">Servicios.</w:t>
      </w:r>
    </w:p>
    <w:p>
      <w:pPr>
        <w:pStyle w:val="Compact"/>
        <w:numPr>
          <w:ilvl w:val="0"/>
          <w:numId w:val="1009"/>
        </w:numPr>
      </w:pPr>
      <w:r>
        <w:t xml:space="preserve">Blog.</w:t>
      </w:r>
    </w:p>
    <w:p>
      <w:pPr>
        <w:pStyle w:val="Compact"/>
        <w:numPr>
          <w:ilvl w:val="0"/>
          <w:numId w:val="1009"/>
        </w:numPr>
      </w:pPr>
      <w:r>
        <w:t xml:space="preserve">Contacto.</w:t>
      </w:r>
    </w:p>
    <w:p>
      <w:pPr>
        <w:pStyle w:val="Compact"/>
        <w:numPr>
          <w:ilvl w:val="0"/>
          <w:numId w:val="1009"/>
        </w:numPr>
      </w:pPr>
      <w:r>
        <w:t xml:space="preserve">Tienda.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Navbar.</w:t>
      </w:r>
    </w:p>
    <w:p>
      <w:pPr>
        <w:pStyle w:val="Compact"/>
        <w:numPr>
          <w:ilvl w:val="0"/>
          <w:numId w:val="1010"/>
        </w:numPr>
      </w:pPr>
      <w:r>
        <w:t xml:space="preserve">Footer.</w:t>
      </w:r>
    </w:p>
    <w:p>
      <w:pPr>
        <w:pStyle w:val="Compact"/>
        <w:numPr>
          <w:ilvl w:val="0"/>
          <w:numId w:val="1010"/>
        </w:numPr>
      </w:pPr>
      <w:r>
        <w:t xml:space="preserve">Contenido principal.</w:t>
      </w:r>
    </w:p>
    <w:p>
      <w:r>
        <w:pict>
          <v:rect style="width:0;height:1.5pt" o:hralign="center" o:hrstd="t" o:hr="t"/>
        </w:pict>
      </w:r>
    </w:p>
    <w:bookmarkEnd w:id="33"/>
    <w:bookmarkStart w:id="34" w:name="authlayout"/>
    <w:p>
      <w:pPr>
        <w:pStyle w:val="Heading2"/>
      </w:pPr>
      <w:r>
        <w:t xml:space="preserve">AuthLayout</w:t>
      </w:r>
    </w:p>
    <w:p>
      <w:pPr>
        <w:pStyle w:val="FirstParagraph"/>
      </w:pPr>
      <w:r>
        <w:t xml:space="preserve">Utilizado por:</w:t>
      </w:r>
    </w:p>
    <w:p>
      <w:pPr>
        <w:pStyle w:val="Compact"/>
        <w:numPr>
          <w:ilvl w:val="0"/>
          <w:numId w:val="1011"/>
        </w:numPr>
      </w:pPr>
      <w:r>
        <w:t xml:space="preserve">Login.</w:t>
      </w:r>
    </w:p>
    <w:p>
      <w:pPr>
        <w:pStyle w:val="Compact"/>
        <w:numPr>
          <w:ilvl w:val="0"/>
          <w:numId w:val="1011"/>
        </w:numPr>
      </w:pPr>
      <w:r>
        <w:t xml:space="preserve">Registro.</w:t>
      </w:r>
    </w:p>
    <w:p>
      <w:pPr>
        <w:pStyle w:val="Compact"/>
        <w:numPr>
          <w:ilvl w:val="0"/>
          <w:numId w:val="1011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1"/>
        </w:numPr>
      </w:pPr>
      <w:r>
        <w:t xml:space="preserve">Verificación de correo.</w:t>
      </w:r>
    </w:p>
    <w:p>
      <w:pPr>
        <w:pStyle w:val="FirstParagraph"/>
      </w:pPr>
      <w:r>
        <w:t xml:space="preserve">Diseñado para minimizar distracciones y centrar la atención en el formulario.</w:t>
      </w:r>
    </w:p>
    <w:p>
      <w:r>
        <w:pict>
          <v:rect style="width:0;height:1.5pt" o:hralign="center" o:hrstd="t" o:hr="t"/>
        </w:pict>
      </w:r>
    </w:p>
    <w:bookmarkEnd w:id="34"/>
    <w:bookmarkStart w:id="35" w:name="clientlayout"/>
    <w:p>
      <w:pPr>
        <w:pStyle w:val="Heading2"/>
      </w:pPr>
      <w:r>
        <w:t xml:space="preserve">ClientLayout</w:t>
      </w:r>
    </w:p>
    <w:p>
      <w:pPr>
        <w:pStyle w:val="FirstParagraph"/>
      </w:pPr>
      <w:r>
        <w:t xml:space="preserve">Utilizado por el área privada del cliente.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2"/>
        </w:numPr>
      </w:pPr>
      <w:r>
        <w:t xml:space="preserve">Navegación lateral o superior.</w:t>
      </w:r>
    </w:p>
    <w:p>
      <w:pPr>
        <w:pStyle w:val="Compact"/>
        <w:numPr>
          <w:ilvl w:val="0"/>
          <w:numId w:val="1012"/>
        </w:numPr>
      </w:pPr>
      <w:r>
        <w:t xml:space="preserve">Área de contenido.</w:t>
      </w:r>
    </w:p>
    <w:p>
      <w:pPr>
        <w:pStyle w:val="Compact"/>
        <w:numPr>
          <w:ilvl w:val="0"/>
          <w:numId w:val="1012"/>
        </w:numPr>
      </w:pPr>
      <w:r>
        <w:t xml:space="preserve">Perfil del usuario.</w:t>
      </w:r>
    </w:p>
    <w:p>
      <w:r>
        <w:pict>
          <v:rect style="width:0;height:1.5pt" o:hralign="center" o:hrstd="t" o:hr="t"/>
        </w:pict>
      </w:r>
    </w:p>
    <w:bookmarkEnd w:id="35"/>
    <w:bookmarkStart w:id="36" w:name="adminlayout"/>
    <w:p>
      <w:pPr>
        <w:pStyle w:val="Heading2"/>
      </w:pPr>
      <w:r>
        <w:t xml:space="preserve">AdminLayout</w:t>
      </w:r>
    </w:p>
    <w:p>
      <w:pPr>
        <w:pStyle w:val="FirstParagraph"/>
      </w:pPr>
      <w:r>
        <w:t xml:space="preserve">Utilizado por el panel administrativo.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Sidebar.</w:t>
      </w:r>
    </w:p>
    <w:p>
      <w:pPr>
        <w:pStyle w:val="Compact"/>
        <w:numPr>
          <w:ilvl w:val="0"/>
          <w:numId w:val="1013"/>
        </w:numPr>
      </w:pPr>
      <w:r>
        <w:t xml:space="preserve">Header.</w:t>
      </w:r>
    </w:p>
    <w:p>
      <w:pPr>
        <w:pStyle w:val="Compact"/>
        <w:numPr>
          <w:ilvl w:val="0"/>
          <w:numId w:val="1013"/>
        </w:numPr>
      </w:pPr>
      <w:r>
        <w:t xml:space="preserve">Breadcrumb.</w:t>
      </w:r>
    </w:p>
    <w:p>
      <w:pPr>
        <w:pStyle w:val="Compact"/>
        <w:numPr>
          <w:ilvl w:val="0"/>
          <w:numId w:val="1013"/>
        </w:numPr>
      </w:pPr>
      <w:r>
        <w:t xml:space="preserve">Área principal.</w:t>
      </w:r>
    </w:p>
    <w:p>
      <w:pPr>
        <w:pStyle w:val="Compact"/>
        <w:numPr>
          <w:ilvl w:val="0"/>
          <w:numId w:val="1013"/>
        </w:numPr>
      </w:pPr>
      <w:r>
        <w:t xml:space="preserve">Panel de notificaciones.</w:t>
      </w:r>
    </w:p>
    <w:p>
      <w:r>
        <w:pict>
          <v:rect style="width:0;height:1.5pt" o:hralign="center" o:hrstd="t" o:hr="t"/>
        </w:pict>
      </w:r>
    </w:p>
    <w:bookmarkEnd w:id="36"/>
    <w:bookmarkStart w:id="37" w:name="specialistlayout"/>
    <w:p>
      <w:pPr>
        <w:pStyle w:val="Heading2"/>
      </w:pPr>
      <w:r>
        <w:t xml:space="preserve">SpecialistLayout</w:t>
      </w:r>
    </w:p>
    <w:p>
      <w:pPr>
        <w:pStyle w:val="FirstParagraph"/>
      </w:pPr>
      <w:r>
        <w:t xml:space="preserve">Utilizado por el portal de especialistas.</w:t>
      </w:r>
    </w:p>
    <w:p>
      <w:pPr>
        <w:pStyle w:val="BodyText"/>
      </w:pPr>
      <w:r>
        <w:t xml:space="preserve">Optimizado para la gestión de agenda e historial de clientes.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stema-de-espaciado"/>
    <w:p>
      <w:pPr>
        <w:pStyle w:val="Heading1"/>
      </w:pPr>
      <w:r>
        <w:t xml:space="preserve">Sistema de Espaciado</w:t>
      </w:r>
    </w:p>
    <w:p>
      <w:pPr>
        <w:pStyle w:val="FirstParagraph"/>
      </w:pPr>
      <w:r>
        <w:t xml:space="preserve">Todo el espaciado utilizará los Design Tokens.</w:t>
      </w:r>
    </w:p>
    <w:p>
      <w:pPr>
        <w:pStyle w:val="BodyText"/>
      </w:pPr>
      <w:r>
        <w:t xml:space="preserve">No se permitirán márgenes o paddings arbitrarios.</w:t>
      </w:r>
    </w:p>
    <w:p>
      <w:r>
        <w:pict>
          <v:rect style="width:0;height:1.5pt" o:hralign="center" o:hrstd="t" o:hr="t"/>
        </w:pict>
      </w:r>
    </w:p>
    <w:bookmarkEnd w:id="39"/>
    <w:bookmarkStart w:id="40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El comportamiento responsive será uniforme.</w:t>
      </w:r>
    </w:p>
    <w:p>
      <w:pPr>
        <w:pStyle w:val="BodyText"/>
      </w:pPr>
      <w:r>
        <w:t xml:space="preserve">Cada layout definirá:</w:t>
      </w:r>
    </w:p>
    <w:p>
      <w:pPr>
        <w:pStyle w:val="Compact"/>
        <w:numPr>
          <w:ilvl w:val="0"/>
          <w:numId w:val="1014"/>
        </w:numPr>
      </w:pPr>
      <w:r>
        <w:t xml:space="preserve">Reorganización de columnas.</w:t>
      </w:r>
    </w:p>
    <w:p>
      <w:pPr>
        <w:pStyle w:val="Compact"/>
        <w:numPr>
          <w:ilvl w:val="0"/>
          <w:numId w:val="1014"/>
        </w:numPr>
      </w:pPr>
      <w:r>
        <w:t xml:space="preserve">Colapso de navegación.</w:t>
      </w:r>
    </w:p>
    <w:p>
      <w:pPr>
        <w:pStyle w:val="Compact"/>
        <w:numPr>
          <w:ilvl w:val="0"/>
          <w:numId w:val="1014"/>
        </w:numPr>
      </w:pPr>
      <w:r>
        <w:t xml:space="preserve">Adaptación de paneles.</w:t>
      </w:r>
    </w:p>
    <w:p>
      <w:pPr>
        <w:pStyle w:val="Compact"/>
        <w:numPr>
          <w:ilvl w:val="0"/>
          <w:numId w:val="1014"/>
        </w:numPr>
      </w:pPr>
      <w:r>
        <w:t xml:space="preserve">Tamaños mínimos de interacción.</w:t>
      </w:r>
    </w:p>
    <w:p>
      <w:r>
        <w:pict>
          <v:rect style="width:0;height:1.5pt" o:hralign="center" o:hrstd="t" o:hr="t"/>
        </w:pict>
      </w:r>
    </w:p>
    <w:bookmarkEnd w:id="40"/>
    <w:bookmarkStart w:id="41" w:name="navegación"/>
    <w:p>
      <w:pPr>
        <w:pStyle w:val="Heading1"/>
      </w:pPr>
      <w:r>
        <w:t xml:space="preserve">Navegación</w:t>
      </w:r>
    </w:p>
    <w:p>
      <w:pPr>
        <w:pStyle w:val="FirstParagraph"/>
      </w:pPr>
      <w:r>
        <w:t xml:space="preserve">La navegación será responsabilidad exclusiva del Layout.</w:t>
      </w:r>
    </w:p>
    <w:p>
      <w:pPr>
        <w:pStyle w:val="BodyText"/>
      </w:pPr>
      <w:r>
        <w:t xml:space="preserve">Las páginas no implementarán barras de navegación propias salvo justificación documentada.</w:t>
      </w:r>
    </w:p>
    <w:p>
      <w:r>
        <w:pict>
          <v:rect style="width:0;height:1.5pt" o:hralign="center" o:hrstd="t" o:hr="t"/>
        </w:pict>
      </w:r>
    </w:p>
    <w:bookmarkEnd w:id="41"/>
    <w:bookmarkStart w:id="42" w:name="cabeceras-de-página"/>
    <w:p>
      <w:pPr>
        <w:pStyle w:val="Heading1"/>
      </w:pPr>
      <w:r>
        <w:t xml:space="preserve">Cabeceras de Página</w:t>
      </w:r>
    </w:p>
    <w:p>
      <w:pPr>
        <w:pStyle w:val="FirstParagraph"/>
      </w:pPr>
      <w:r>
        <w:t xml:space="preserve">Las páginas utilizarán un componente estándar de cabecera.</w:t>
      </w:r>
    </w:p>
    <w:p>
      <w:pPr>
        <w:pStyle w:val="BodyText"/>
      </w:pPr>
      <w:r>
        <w:t xml:space="preserve">Elementos típicos:</w:t>
      </w:r>
    </w:p>
    <w:p>
      <w:pPr>
        <w:pStyle w:val="Compact"/>
        <w:numPr>
          <w:ilvl w:val="0"/>
          <w:numId w:val="1015"/>
        </w:numPr>
      </w:pPr>
      <w:r>
        <w:t xml:space="preserve">Título.</w:t>
      </w:r>
    </w:p>
    <w:p>
      <w:pPr>
        <w:pStyle w:val="Compact"/>
        <w:numPr>
          <w:ilvl w:val="0"/>
          <w:numId w:val="1015"/>
        </w:numPr>
      </w:pPr>
      <w:r>
        <w:t xml:space="preserve">Descripción.</w:t>
      </w:r>
    </w:p>
    <w:p>
      <w:pPr>
        <w:pStyle w:val="Compact"/>
        <w:numPr>
          <w:ilvl w:val="0"/>
          <w:numId w:val="1015"/>
        </w:numPr>
      </w:pPr>
      <w:r>
        <w:t xml:space="preserve">Acciones principales.</w:t>
      </w:r>
    </w:p>
    <w:p>
      <w:pPr>
        <w:pStyle w:val="Compact"/>
        <w:numPr>
          <w:ilvl w:val="0"/>
          <w:numId w:val="1015"/>
        </w:numPr>
      </w:pPr>
      <w:r>
        <w:t xml:space="preserve">Breadcrumb.</w:t>
      </w:r>
    </w:p>
    <w:p>
      <w:pPr>
        <w:pStyle w:val="FirstParagraph"/>
      </w:pPr>
      <w:r>
        <w:t xml:space="preserve">Esto proporciona una experiencia consistente en toda la plataforma.</w:t>
      </w:r>
    </w:p>
    <w:p>
      <w:r>
        <w:pict>
          <v:rect style="width:0;height:1.5pt" o:hralign="center" o:hrstd="t" o:hr="t"/>
        </w:pict>
      </w:r>
    </w:p>
    <w:bookmarkEnd w:id="42"/>
    <w:bookmarkStart w:id="43" w:name="estados-de-pantalla"/>
    <w:p>
      <w:pPr>
        <w:pStyle w:val="Heading1"/>
      </w:pPr>
      <w:r>
        <w:t xml:space="preserve">Estados de Pantalla</w:t>
      </w:r>
    </w:p>
    <w:p>
      <w:pPr>
        <w:pStyle w:val="FirstParagraph"/>
      </w:pPr>
      <w:r>
        <w:t xml:space="preserve">Toda página deberá contemplar, cuando corresponda:</w:t>
      </w:r>
    </w:p>
    <w:p>
      <w:pPr>
        <w:pStyle w:val="Compact"/>
        <w:numPr>
          <w:ilvl w:val="0"/>
          <w:numId w:val="1016"/>
        </w:numPr>
      </w:pPr>
      <w:r>
        <w:t xml:space="preserve">Estado de carga.</w:t>
      </w:r>
    </w:p>
    <w:p>
      <w:pPr>
        <w:pStyle w:val="Compact"/>
        <w:numPr>
          <w:ilvl w:val="0"/>
          <w:numId w:val="1016"/>
        </w:numPr>
      </w:pPr>
      <w:r>
        <w:t xml:space="preserve">Estado vacío.</w:t>
      </w:r>
    </w:p>
    <w:p>
      <w:pPr>
        <w:pStyle w:val="Compact"/>
        <w:numPr>
          <w:ilvl w:val="0"/>
          <w:numId w:val="1016"/>
        </w:numPr>
      </w:pPr>
      <w:r>
        <w:t xml:space="preserve">Estado de error.</w:t>
      </w:r>
    </w:p>
    <w:p>
      <w:pPr>
        <w:pStyle w:val="Compact"/>
        <w:numPr>
          <w:ilvl w:val="0"/>
          <w:numId w:val="1016"/>
        </w:numPr>
      </w:pPr>
      <w:r>
        <w:t xml:space="preserve">Estado sin permisos.</w:t>
      </w:r>
    </w:p>
    <w:p>
      <w:pPr>
        <w:pStyle w:val="Compact"/>
        <w:numPr>
          <w:ilvl w:val="0"/>
          <w:numId w:val="1016"/>
        </w:numPr>
      </w:pPr>
      <w:r>
        <w:t xml:space="preserve">Estado de éxito.</w:t>
      </w:r>
    </w:p>
    <w:p>
      <w:pPr>
        <w:pStyle w:val="FirstParagraph"/>
      </w:pPr>
      <w:r>
        <w:t xml:space="preserve">Estos estados utilizarán componentes reutilizables del sistema UI.</w:t>
      </w:r>
    </w:p>
    <w:p>
      <w:r>
        <w:pict>
          <v:rect style="width:0;height:1.5pt" o:hralign="center" o:hrstd="t" o:hr="t"/>
        </w:pict>
      </w:r>
    </w:p>
    <w:bookmarkEnd w:id="43"/>
    <w:bookmarkStart w:id="44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Los layouts deberán garantizar:</w:t>
      </w:r>
    </w:p>
    <w:p>
      <w:pPr>
        <w:pStyle w:val="Compact"/>
        <w:numPr>
          <w:ilvl w:val="0"/>
          <w:numId w:val="1017"/>
        </w:numPr>
      </w:pPr>
      <w:r>
        <w:t xml:space="preserve">Navegación mediante teclado.</w:t>
      </w:r>
    </w:p>
    <w:p>
      <w:pPr>
        <w:pStyle w:val="Compact"/>
        <w:numPr>
          <w:ilvl w:val="0"/>
          <w:numId w:val="1017"/>
        </w:numPr>
      </w:pPr>
      <w:r>
        <w:t xml:space="preserve">Orden lógico del foco.</w:t>
      </w:r>
    </w:p>
    <w:p>
      <w:pPr>
        <w:pStyle w:val="Compact"/>
        <w:numPr>
          <w:ilvl w:val="0"/>
          <w:numId w:val="1017"/>
        </w:numPr>
      </w:pPr>
      <w:r>
        <w:t xml:space="preserve">Regiones semánticas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Compatibilidad con lectores de pantalla.</w:t>
      </w:r>
    </w:p>
    <w:p>
      <w:r>
        <w:pict>
          <v:rect style="width:0;height:1.5pt" o:hralign="center" o:hrstd="t" o:hr="t"/>
        </w:pict>
      </w:r>
    </w:p>
    <w:bookmarkEnd w:id="44"/>
    <w:bookmarkStart w:id="45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layouts deberán:</w:t>
      </w:r>
    </w:p>
    <w:p>
      <w:pPr>
        <w:pStyle w:val="Compact"/>
        <w:numPr>
          <w:ilvl w:val="0"/>
          <w:numId w:val="1018"/>
        </w:numPr>
      </w:pPr>
      <w:r>
        <w:t xml:space="preserve">Favorecer la carga diferida de módulos.</w:t>
      </w:r>
    </w:p>
    <w:p>
      <w:pPr>
        <w:pStyle w:val="Compact"/>
        <w:numPr>
          <w:ilvl w:val="0"/>
          <w:numId w:val="1018"/>
        </w:numPr>
      </w:pPr>
      <w:r>
        <w:t xml:space="preserve">Evitar renderizados innecesarios.</w:t>
      </w:r>
    </w:p>
    <w:p>
      <w:pPr>
        <w:pStyle w:val="Compact"/>
        <w:numPr>
          <w:ilvl w:val="0"/>
          <w:numId w:val="1018"/>
        </w:numPr>
      </w:pPr>
      <w:r>
        <w:t xml:space="preserve">Mantener una estructura estable entre navegaciones.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9"/>
        </w:numPr>
      </w:pPr>
      <w:r>
        <w:t xml:space="preserve">Crear layouts específicos para una única página.</w:t>
      </w:r>
    </w:p>
    <w:p>
      <w:pPr>
        <w:pStyle w:val="Compact"/>
        <w:numPr>
          <w:ilvl w:val="0"/>
          <w:numId w:val="1019"/>
        </w:numPr>
      </w:pPr>
      <w:r>
        <w:t xml:space="preserve">Duplicar estructuras.</w:t>
      </w:r>
    </w:p>
    <w:p>
      <w:pPr>
        <w:pStyle w:val="Compact"/>
        <w:numPr>
          <w:ilvl w:val="0"/>
          <w:numId w:val="1019"/>
        </w:numPr>
      </w:pPr>
      <w:r>
        <w:t xml:space="preserve">Mezclar lógica de navegación con lógica de negocio.</w:t>
      </w:r>
    </w:p>
    <w:p>
      <w:pPr>
        <w:pStyle w:val="Compact"/>
        <w:numPr>
          <w:ilvl w:val="0"/>
          <w:numId w:val="1019"/>
        </w:numPr>
      </w:pPr>
      <w:r>
        <w:t xml:space="preserve">Romper la consistencia entre aplicaciones.</w:t>
      </w:r>
    </w:p>
    <w:p>
      <w:pPr>
        <w:pStyle w:val="FirstParagraph"/>
      </w:pPr>
      <w:r>
        <w:t xml:space="preserve">Toda excepción deberá revisarse arquitectónicamente.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Jerarquía definida.</w:t>
      </w:r>
    </w:p>
    <w:p>
      <w:pPr>
        <w:pStyle w:val="Compact"/>
        <w:numPr>
          <w:ilvl w:val="0"/>
          <w:numId w:val="1020"/>
        </w:numPr>
      </w:pPr>
      <w:r>
        <w:t xml:space="preserve">Layouts oficiales documentados.</w:t>
      </w:r>
    </w:p>
    <w:p>
      <w:pPr>
        <w:pStyle w:val="Compact"/>
        <w:numPr>
          <w:ilvl w:val="0"/>
          <w:numId w:val="1020"/>
        </w:numPr>
      </w:pPr>
      <w:r>
        <w:t xml:space="preserve">Sistema de Grid aprobado.</w:t>
      </w:r>
    </w:p>
    <w:p>
      <w:pPr>
        <w:pStyle w:val="Compact"/>
        <w:numPr>
          <w:ilvl w:val="0"/>
          <w:numId w:val="1020"/>
        </w:numPr>
      </w:pPr>
      <w:r>
        <w:t xml:space="preserve">Contenedores definidos.</w:t>
      </w:r>
    </w:p>
    <w:p>
      <w:pPr>
        <w:pStyle w:val="Compact"/>
        <w:numPr>
          <w:ilvl w:val="0"/>
          <w:numId w:val="1020"/>
        </w:numPr>
      </w:pPr>
      <w:r>
        <w:t xml:space="preserve">Responsive documentado.</w:t>
      </w:r>
    </w:p>
    <w:p>
      <w:pPr>
        <w:pStyle w:val="Compact"/>
        <w:numPr>
          <w:ilvl w:val="0"/>
          <w:numId w:val="1020"/>
        </w:numPr>
      </w:pPr>
      <w:r>
        <w:t xml:space="preserve">Accesibilidad considerada.</w:t>
      </w:r>
    </w:p>
    <w:p>
      <w:pPr>
        <w:pStyle w:val="Compact"/>
        <w:numPr>
          <w:ilvl w:val="0"/>
          <w:numId w:val="1020"/>
        </w:numPr>
      </w:pPr>
      <w:r>
        <w:t xml:space="preserve">Estados de pantalla definidos.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UI001_DESIGN_TOKEN_SYSTEM.md</w:t>
      </w:r>
    </w:p>
    <w:p>
      <w:pPr>
        <w:pStyle w:val="Compact"/>
        <w:numPr>
          <w:ilvl w:val="0"/>
          <w:numId w:val="1021"/>
        </w:numPr>
      </w:pPr>
      <w:r>
        <w:t xml:space="preserve">UI002_COMPONENT_CLASSIFICATION_ARCHITECTURE.md</w:t>
      </w:r>
    </w:p>
    <w:p>
      <w:pPr>
        <w:pStyle w:val="Compact"/>
        <w:numPr>
          <w:ilvl w:val="0"/>
          <w:numId w:val="1021"/>
        </w:numPr>
      </w:pPr>
      <w:r>
        <w:t xml:space="preserve">UI003_COMPONENT_DEVELOPMENT_STANDARDS.md</w:t>
      </w:r>
    </w:p>
    <w:p>
      <w:pPr>
        <w:pStyle w:val="Compact"/>
        <w:numPr>
          <w:ilvl w:val="0"/>
          <w:numId w:val="1021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21"/>
        </w:numPr>
      </w:pPr>
      <w:r>
        <w:t xml:space="preserve">MONO001_MONOREPOSITORY_ARCHITECTURE.md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sistema de layouts.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2026-06-30T16:57:52Z</dcterms:created>
  <dcterms:modified xsi:type="dcterms:W3CDTF">2026-06-30T16:57:52Z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