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532A6">
      <w:pPr>
        <w:spacing w:before="2400"/>
        <w:jc w:val="center"/>
      </w:pPr>
      <w:r>
        <w:rPr>
          <w:rFonts w:ascii="宋体" w:hAnsi="宋体" w:eastAsia="宋体"/>
          <w:b/>
          <w:sz w:val="44"/>
        </w:rPr>
        <w:t>销售POD收入确认开发方案设计文档</w:t>
      </w:r>
    </w:p>
    <w:p w14:paraId="0091E5FA">
      <w:pPr>
        <w:jc w:val="center"/>
      </w:pPr>
      <w:r>
        <w:rPr>
          <w:rFonts w:ascii="宋体" w:hAnsi="宋体" w:eastAsia="宋体"/>
          <w:b/>
          <w:sz w:val="28"/>
        </w:rPr>
        <w:t>增强版</w:t>
      </w:r>
    </w:p>
    <w:p w14:paraId="4AC59816">
      <w:pPr>
        <w:jc w:val="center"/>
      </w:pPr>
      <w:r>
        <w:rPr>
          <w:rFonts w:ascii="宋体" w:hAnsi="宋体" w:eastAsia="宋体"/>
          <w:b w:val="0"/>
          <w:sz w:val="20"/>
        </w:rPr>
        <w:t>覆盖业务背景、业务需求、系统集成、系统架构、领域模型、关键时序与技术方案</w:t>
      </w:r>
    </w:p>
    <w:p w14:paraId="7CF557F2">
      <w:pPr>
        <w:spacing w:before="800"/>
        <w:jc w:val="center"/>
      </w:pPr>
      <w:r>
        <w:rPr>
          <w:rFonts w:ascii="宋体" w:hAnsi="宋体" w:eastAsia="宋体"/>
          <w:b w:val="0"/>
          <w:sz w:val="20"/>
        </w:rPr>
        <w:t>版本：V1.0</w:t>
      </w:r>
      <w:r>
        <w:rPr>
          <w:rFonts w:ascii="宋体" w:hAnsi="宋体" w:eastAsia="宋体"/>
          <w:b w:val="0"/>
          <w:sz w:val="20"/>
        </w:rPr>
        <w:br w:type="textWrapping"/>
      </w:r>
      <w:r>
        <w:rPr>
          <w:rFonts w:ascii="宋体" w:hAnsi="宋体" w:eastAsia="宋体"/>
          <w:b w:val="0"/>
          <w:sz w:val="20"/>
        </w:rPr>
        <w:t>日期：2026年7月1日</w:t>
      </w:r>
    </w:p>
    <w:p w14:paraId="38AA8536">
      <w:r>
        <w:br w:type="page"/>
      </w:r>
    </w:p>
    <w:p w14:paraId="0EC885FF">
      <w:pPr>
        <w:spacing w:before="240" w:after="160"/>
      </w:pPr>
      <w:r>
        <w:rPr>
          <w:rFonts w:ascii="宋体" w:hAnsi="宋体" w:eastAsia="宋体"/>
          <w:b/>
          <w:sz w:val="32"/>
        </w:rPr>
        <w:t>目录</w:t>
      </w:r>
    </w:p>
    <w:p w14:paraId="46F67385">
      <w:pPr>
        <w:spacing w:after="40"/>
      </w:pPr>
      <w:r>
        <w:rPr>
          <w:rFonts w:ascii="宋体" w:hAnsi="宋体" w:eastAsia="宋体"/>
          <w:b w:val="0"/>
          <w:sz w:val="28"/>
        </w:rPr>
        <w:t>1. 文档说明</w:t>
      </w:r>
    </w:p>
    <w:p w14:paraId="10220D9F">
      <w:pPr>
        <w:spacing w:after="40"/>
      </w:pPr>
      <w:r>
        <w:rPr>
          <w:rFonts w:ascii="宋体" w:hAnsi="宋体" w:eastAsia="宋体"/>
          <w:b w:val="0"/>
          <w:sz w:val="28"/>
        </w:rPr>
        <w:t>2. 业务背景</w:t>
      </w:r>
    </w:p>
    <w:p w14:paraId="37325C8D">
      <w:pPr>
        <w:spacing w:after="40"/>
      </w:pPr>
      <w:r>
        <w:rPr>
          <w:rFonts w:ascii="宋体" w:hAnsi="宋体" w:eastAsia="宋体"/>
          <w:b w:val="0"/>
          <w:sz w:val="28"/>
        </w:rPr>
        <w:t>3. 业务目标与业务需求</w:t>
      </w:r>
    </w:p>
    <w:p w14:paraId="27FB5DA3">
      <w:pPr>
        <w:spacing w:after="40"/>
      </w:pPr>
      <w:r>
        <w:rPr>
          <w:rFonts w:ascii="宋体" w:hAnsi="宋体" w:eastAsia="宋体"/>
          <w:b w:val="0"/>
          <w:sz w:val="28"/>
        </w:rPr>
        <w:t>4. 功能点设计</w:t>
      </w:r>
    </w:p>
    <w:p w14:paraId="5182A2FE">
      <w:pPr>
        <w:spacing w:after="40"/>
      </w:pPr>
      <w:r>
        <w:rPr>
          <w:rFonts w:ascii="宋体" w:hAnsi="宋体" w:eastAsia="宋体"/>
          <w:b w:val="0"/>
          <w:sz w:val="28"/>
        </w:rPr>
        <w:t>5. 系统间集成关系</w:t>
      </w:r>
    </w:p>
    <w:p w14:paraId="254D6A1C">
      <w:pPr>
        <w:spacing w:after="40"/>
      </w:pPr>
      <w:r>
        <w:rPr>
          <w:rFonts w:ascii="宋体" w:hAnsi="宋体" w:eastAsia="宋体"/>
          <w:b w:val="0"/>
          <w:sz w:val="28"/>
        </w:rPr>
        <w:t>6. 系统架构设计</w:t>
      </w:r>
    </w:p>
    <w:p w14:paraId="12220947">
      <w:pPr>
        <w:spacing w:after="40"/>
      </w:pPr>
      <w:r>
        <w:rPr>
          <w:rFonts w:ascii="宋体" w:hAnsi="宋体" w:eastAsia="宋体"/>
          <w:b w:val="0"/>
          <w:sz w:val="28"/>
        </w:rPr>
        <w:t>7. 领域模型设计</w:t>
      </w:r>
    </w:p>
    <w:p w14:paraId="7698E2FB">
      <w:pPr>
        <w:spacing w:after="40"/>
      </w:pPr>
      <w:r>
        <w:rPr>
          <w:rFonts w:ascii="宋体" w:hAnsi="宋体" w:eastAsia="宋体"/>
          <w:b w:val="0"/>
          <w:sz w:val="28"/>
        </w:rPr>
        <w:t>8. 关键场景时序图</w:t>
      </w:r>
    </w:p>
    <w:p w14:paraId="57965B70">
      <w:pPr>
        <w:spacing w:after="40"/>
      </w:pPr>
      <w:r>
        <w:rPr>
          <w:rFonts w:ascii="宋体" w:hAnsi="宋体" w:eastAsia="宋体"/>
          <w:b w:val="0"/>
          <w:sz w:val="28"/>
        </w:rPr>
        <w:t>9. 关键技术方案</w:t>
      </w:r>
    </w:p>
    <w:p w14:paraId="412B3B04">
      <w:pPr>
        <w:spacing w:after="40"/>
      </w:pPr>
      <w:r>
        <w:rPr>
          <w:rFonts w:ascii="宋体" w:hAnsi="宋体" w:eastAsia="宋体"/>
          <w:b w:val="0"/>
          <w:sz w:val="28"/>
        </w:rPr>
        <w:t>10. 接口清单</w:t>
      </w:r>
    </w:p>
    <w:p w14:paraId="4ADFB8EC">
      <w:pPr>
        <w:spacing w:after="40"/>
      </w:pPr>
      <w:r>
        <w:rPr>
          <w:rFonts w:ascii="宋体" w:hAnsi="宋体" w:eastAsia="宋体"/>
          <w:b w:val="0"/>
          <w:sz w:val="28"/>
        </w:rPr>
        <w:t>11. 数据对象定义</w:t>
      </w:r>
    </w:p>
    <w:p w14:paraId="51021F87">
      <w:pPr>
        <w:spacing w:after="40"/>
      </w:pPr>
      <w:r>
        <w:rPr>
          <w:rFonts w:ascii="宋体" w:hAnsi="宋体" w:eastAsia="宋体"/>
          <w:b w:val="0"/>
          <w:sz w:val="28"/>
        </w:rPr>
        <w:t>12. 状态与规则定义</w:t>
      </w:r>
    </w:p>
    <w:p w14:paraId="3203977C">
      <w:pPr>
        <w:spacing w:after="40"/>
      </w:pPr>
      <w:r>
        <w:rPr>
          <w:rFonts w:ascii="宋体" w:hAnsi="宋体" w:eastAsia="宋体"/>
          <w:b w:val="0"/>
          <w:sz w:val="28"/>
        </w:rPr>
        <w:t>13. 权限与审计设计</w:t>
      </w:r>
    </w:p>
    <w:p w14:paraId="67851FC3">
      <w:pPr>
        <w:spacing w:after="40"/>
      </w:pPr>
      <w:r>
        <w:rPr>
          <w:rFonts w:ascii="宋体" w:hAnsi="宋体" w:eastAsia="宋体"/>
          <w:b w:val="0"/>
          <w:sz w:val="28"/>
        </w:rPr>
        <w:t>14. 开发落地建议</w:t>
      </w:r>
    </w:p>
    <w:p w14:paraId="70D5863A">
      <w:pPr>
        <w:spacing w:after="40"/>
      </w:pPr>
      <w:r>
        <w:rPr>
          <w:rFonts w:ascii="宋体" w:hAnsi="宋体" w:eastAsia="宋体"/>
          <w:b w:val="0"/>
          <w:sz w:val="28"/>
        </w:rPr>
        <w:t>15. 待确认事项</w:t>
      </w:r>
    </w:p>
    <w:p w14:paraId="49245A01">
      <w:r>
        <w:br w:type="page"/>
      </w:r>
    </w:p>
    <w:p w14:paraId="0C11AD4A">
      <w:pPr>
        <w:spacing w:before="240" w:after="160"/>
      </w:pPr>
      <w:r>
        <w:rPr>
          <w:rFonts w:ascii="宋体" w:hAnsi="宋体" w:eastAsia="宋体"/>
          <w:b/>
          <w:sz w:val="32"/>
        </w:rPr>
        <w:t>1. 文档说明</w:t>
      </w:r>
    </w:p>
    <w:p w14:paraId="7BDF8F9F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本文档用于描述销售POD收入确认应用的开发方案设计，覆盖业务背景、业务需求、功能设计、系统间集成关系、系统架构、领域模型、关键时序、接口清单、数据对象定义及关键技术方案。</w:t>
      </w:r>
    </w:p>
    <w:p w14:paraId="4F6FDD95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文档结构参考采购发票处理开发方案设计文档，结合销售POD原型更新版本和会议确认内容整理。重点体现首页驾驶舱、数据采集中心、对账单、POD匹配、发票过账和综合查询六个一级功能。</w:t>
      </w:r>
    </w:p>
    <w:p w14:paraId="022F06A4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后续进入详细设计阶段时，需结合SAP交货单、公共邮箱、公共文件夹、文件服务、AI识别服务、权限系统和财务过账接口的实际能力，对字段、状态、权限和异常规则进行进一步确认。</w:t>
      </w:r>
    </w:p>
    <w:p w14:paraId="093FD7E7">
      <w:pPr>
        <w:spacing w:before="240" w:after="160"/>
      </w:pPr>
      <w:r>
        <w:rPr>
          <w:rFonts w:ascii="宋体" w:hAnsi="宋体" w:eastAsia="宋体"/>
          <w:b/>
          <w:sz w:val="32"/>
        </w:rPr>
        <w:t>2. 业务背景</w:t>
      </w:r>
    </w:p>
    <w:p w14:paraId="7051D36E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销售POD收入确认涉及SAP交货单、物流发运单、物流签收单或POD资料、客户对账单、差异借贷项、POD确认、预制发票、发票过账、打印归档和综合查询等多个环节。</w:t>
      </w:r>
    </w:p>
    <w:p w14:paraId="4320436E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现有业务中，销售/CS、物流和财务之间存在职责分工和资料传递断点。SAP交货单已发出后，需要及时取得物流发运单号、签收凭据和客户对账结果，才能支撑POD确认和后续财务处理。</w:t>
      </w:r>
    </w:p>
    <w:p w14:paraId="21B06991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物流发运单号主要来源于仓库与物流之间的邮件沟通，物流签收资料来自公共文件夹中的签收单、POD文件或客户自提邮件确认。为保持审计链，物流发运单号原则上不开放手工修改，异常应通过补邮件或补充说明处理。</w:t>
      </w:r>
    </w:p>
    <w:p w14:paraId="65A1C493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对账单由CS负责处理。CS需要按客户和周期从SAP同步待处理交货单，选择交货单创建对账单，下载给客户确认，客户反馈后上传系统并执行差异分析。若存在差异，需要先完成借贷项处理，再进入POD确认。</w:t>
      </w:r>
    </w:p>
    <w:p w14:paraId="3A5D0109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POD确认初期以人工保存和确认方式为主，确认颗粒度先按交货单/DN处理。POD确认完成后，系统自动生成预制发票，财务页面不再提供预制发票按钮，财务仅处理过账、打印和归档。</w:t>
      </w:r>
    </w:p>
    <w:p w14:paraId="45101513">
      <w:pPr>
        <w:spacing w:before="240" w:after="160"/>
      </w:pPr>
      <w:r>
        <w:rPr>
          <w:rFonts w:ascii="宋体" w:hAnsi="宋体" w:eastAsia="宋体"/>
          <w:b/>
          <w:sz w:val="32"/>
        </w:rPr>
        <w:t>3. 业务目标与业务需求</w:t>
      </w:r>
    </w:p>
    <w:p w14:paraId="5F6EF4F3">
      <w:pPr>
        <w:spacing w:before="160" w:after="100"/>
        <w:rPr>
          <w:rFonts w:hint="eastAsia" w:ascii="宋体" w:hAnsi="宋体" w:eastAsia="宋体"/>
          <w:b/>
          <w:sz w:val="24"/>
          <w:lang w:eastAsia="zh"/>
          <w:woUserID w:val="1"/>
        </w:rPr>
      </w:pPr>
      <w:r>
        <w:rPr>
          <w:rFonts w:ascii="宋体" w:hAnsi="宋体" w:eastAsia="宋体"/>
          <w:b/>
          <w:sz w:val="24"/>
        </w:rPr>
        <w:t>3.1 业务</w:t>
      </w:r>
      <w:r>
        <w:rPr>
          <w:rFonts w:hint="eastAsia"/>
          <w:b/>
          <w:sz w:val="24"/>
          <w:lang w:eastAsia="zh"/>
          <w:woUserID w:val="1"/>
        </w:rPr>
        <w:t>流程图</w:t>
      </w:r>
      <w:bookmarkStart w:id="0" w:name="_GoBack"/>
      <w:bookmarkEnd w:id="0"/>
    </w:p>
    <w:p w14:paraId="4FE5B6A4">
      <w:pPr>
        <w:spacing w:before="160" w:after="100"/>
        <w:rPr>
          <w:rFonts w:hint="eastAsia" w:ascii="宋体" w:hAnsi="宋体" w:eastAsia="宋体"/>
          <w:b/>
          <w:sz w:val="24"/>
          <w:lang w:eastAsia="zh"/>
        </w:rPr>
      </w:pPr>
      <w:r>
        <w:rPr>
          <w:rFonts w:hint="eastAsia" w:ascii="宋体" w:hAnsi="宋体" w:eastAsia="宋体"/>
          <w:b/>
          <w:sz w:val="24"/>
          <w:lang w:eastAsia="zh"/>
        </w:rPr>
        <w:drawing>
          <wp:inline distT="0" distB="0" distL="114300" distR="114300">
            <wp:extent cx="5728335" cy="37331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B076">
      <w:pPr>
        <w:spacing w:before="160" w:after="100"/>
        <w:rPr>
          <w:woUserID w:val="1"/>
        </w:rPr>
      </w:pPr>
      <w:r>
        <w:rPr>
          <w:rFonts w:ascii="宋体" w:hAnsi="宋体" w:eastAsia="宋体"/>
          <w:b/>
          <w:sz w:val="24"/>
          <w:woUserID w:val="1"/>
        </w:rPr>
        <w:t>3.</w:t>
      </w:r>
      <w:r>
        <w:rPr>
          <w:rFonts w:hint="eastAsia"/>
          <w:b/>
          <w:sz w:val="24"/>
          <w:lang w:eastAsia="zh"/>
          <w:woUserID w:val="1"/>
        </w:rPr>
        <w:t>2</w:t>
      </w:r>
      <w:r>
        <w:rPr>
          <w:rFonts w:ascii="宋体" w:hAnsi="宋体" w:eastAsia="宋体"/>
          <w:b/>
          <w:sz w:val="24"/>
          <w:woUserID w:val="1"/>
        </w:rPr>
        <w:t xml:space="preserve"> 业务目标</w:t>
      </w:r>
    </w:p>
    <w:p w14:paraId="7C55FDB1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建立统一的销售POD收入确认工作台，将SAP交货单、物流发运单、签收凭据、对账单、借贷项、POD确认、预制发票、过账凭证和归档资料串联起来。</w:t>
      </w:r>
    </w:p>
    <w:p w14:paraId="623DDB06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通过系统定时拉取和AI识别，减少人工查找邮件、下载资料、比对对账单和判断POD条件的工作量。</w:t>
      </w:r>
    </w:p>
    <w:p w14:paraId="2C5DA2CF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以交货单/DN为业务主线，建立物流关联、物流签收、对账单、借贷项和POD确认的状态闭环。</w:t>
      </w:r>
    </w:p>
    <w:p w14:paraId="405EBEB5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首页驾驶舱以流程节点和数量看板方式展示全局状态，主看板对所有角色公开一致，待处理清单按角色和数据范围过滤。</w:t>
      </w:r>
    </w:p>
    <w:p w14:paraId="2323612F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对账差异和借贷项处理前移到对账单页面；POD匹配页面只保留保存和POD确认两个核心动作。</w:t>
      </w:r>
    </w:p>
    <w:p w14:paraId="5CCE0D4A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POD确认后自动生成预制发票，发票过账页面聚焦财务过账、打印和归档。</w:t>
      </w:r>
    </w:p>
    <w:p w14:paraId="0BB1E623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综合查询提供状态链路、资料预览和补充资料能力，暂不展开复杂归档包或下载包功能。</w:t>
      </w:r>
    </w:p>
    <w:p w14:paraId="647BD6F9">
      <w:pPr>
        <w:spacing w:before="160" w:after="100"/>
      </w:pPr>
      <w:r>
        <w:rPr>
          <w:rFonts w:ascii="宋体" w:hAnsi="宋体" w:eastAsia="宋体"/>
          <w:b/>
          <w:sz w:val="24"/>
        </w:rPr>
        <w:t>3.</w:t>
      </w:r>
      <w:r>
        <w:rPr>
          <w:rFonts w:hint="eastAsia"/>
          <w:b/>
          <w:sz w:val="24"/>
          <w:lang w:eastAsia="zh"/>
          <w:woUserID w:val="1"/>
        </w:rPr>
        <w:t>3</w:t>
      </w:r>
      <w:r>
        <w:rPr>
          <w:rFonts w:ascii="宋体" w:hAnsi="宋体" w:eastAsia="宋体"/>
          <w:b/>
          <w:sz w:val="24"/>
        </w:rPr>
        <w:t xml:space="preserve"> 业务需求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87"/>
      </w:tblGrid>
      <w:tr w14:paraId="4C8B5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top"/>
          </w:tcPr>
          <w:p w14:paraId="5A346AF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需求类别</w:t>
            </w:r>
          </w:p>
        </w:tc>
        <w:tc>
          <w:tcPr>
            <w:tcW w:w="7087" w:type="dxa"/>
            <w:shd w:val="clear" w:color="auto" w:fill="F2F2F2"/>
            <w:vAlign w:val="top"/>
          </w:tcPr>
          <w:p w14:paraId="6EB427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需求说明</w:t>
            </w:r>
          </w:p>
        </w:tc>
      </w:tr>
      <w:tr w14:paraId="49FC8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B777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首页驾驶舱</w:t>
            </w:r>
          </w:p>
        </w:tc>
        <w:tc>
          <w:tcPr>
            <w:tcW w:w="7087" w:type="dxa"/>
            <w:vAlign w:val="top"/>
          </w:tcPr>
          <w:p w14:paraId="09F372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按流程节点卡片展示物流分支、对账分支以及后续POD匹配、发票过账汇总流程。每个节点上方展示待办事项，下方展示单据数量；异常规则单独列示。</w:t>
            </w:r>
          </w:p>
        </w:tc>
      </w:tr>
      <w:tr w14:paraId="4F15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D647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数据采集中心</w:t>
            </w:r>
          </w:p>
        </w:tc>
        <w:tc>
          <w:tcPr>
            <w:tcW w:w="7087" w:type="dxa"/>
            <w:vAlign w:val="top"/>
          </w:tcPr>
          <w:p w14:paraId="6AA106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以SAP交货单为基础，处理三类数据：SAP交货单、交货单与物流发运单关联、物流单签收/POD资料。公共邮箱和公共文件夹以系统定时拉取为主，手工刷新为辅。</w:t>
            </w:r>
          </w:p>
        </w:tc>
      </w:tr>
      <w:tr w14:paraId="1EED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93E7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客户自提处理</w:t>
            </w:r>
          </w:p>
        </w:tc>
        <w:tc>
          <w:tcPr>
            <w:tcW w:w="7087" w:type="dxa"/>
            <w:vAlign w:val="top"/>
          </w:tcPr>
          <w:p w14:paraId="2B90E3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客户自提可通过邮件确认自提，系统视同物流签收已确认，并保留邮件作为审计资料。</w:t>
            </w:r>
          </w:p>
        </w:tc>
      </w:tr>
      <w:tr w14:paraId="785F7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B3C8C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对账单处理</w:t>
            </w:r>
          </w:p>
        </w:tc>
        <w:tc>
          <w:tcPr>
            <w:tcW w:w="7087" w:type="dxa"/>
            <w:vAlign w:val="top"/>
          </w:tcPr>
          <w:p w14:paraId="503D89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按客户和周期查询SAP待处理交货单，选择交货单创建对账单；支持对账单总览、明细查看、下载、上传客户反馈、差异分析和借贷项过账。</w:t>
            </w:r>
          </w:p>
        </w:tc>
      </w:tr>
      <w:tr w14:paraId="0D72D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DB31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POD匹配</w:t>
            </w:r>
          </w:p>
        </w:tc>
        <w:tc>
          <w:tcPr>
            <w:tcW w:w="7087" w:type="dxa"/>
            <w:vAlign w:val="top"/>
          </w:tcPr>
          <w:p w14:paraId="5FF0AC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以交货单/DN为确认颗粒度，检查物流签收、对账完成、差异借贷项处理完成后，由CS点击保存和POD确认。</w:t>
            </w:r>
          </w:p>
        </w:tc>
      </w:tr>
      <w:tr w14:paraId="7DC7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39360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发票过账</w:t>
            </w:r>
          </w:p>
        </w:tc>
        <w:tc>
          <w:tcPr>
            <w:tcW w:w="7087" w:type="dxa"/>
            <w:vAlign w:val="top"/>
          </w:tcPr>
          <w:p w14:paraId="05DB27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POD确认后系统自动生成预制发票；财务页面不提供预制按钮，仅处理过账、打印和归档。</w:t>
            </w:r>
          </w:p>
        </w:tc>
      </w:tr>
      <w:tr w14:paraId="19CC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04B06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综合查询</w:t>
            </w:r>
          </w:p>
        </w:tc>
        <w:tc>
          <w:tcPr>
            <w:tcW w:w="7087" w:type="dxa"/>
            <w:vAlign w:val="top"/>
          </w:tcPr>
          <w:p w14:paraId="125CDC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展示交货单、物流发运、签收、对账单、借贷项、POD日志、预制发票、过账凭证和归档状态，并支持资料预览。</w:t>
            </w:r>
          </w:p>
        </w:tc>
      </w:tr>
      <w:tr w14:paraId="62DA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3ACE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权限控制</w:t>
            </w:r>
          </w:p>
        </w:tc>
        <w:tc>
          <w:tcPr>
            <w:tcW w:w="7087" w:type="dxa"/>
            <w:vAlign w:val="top"/>
          </w:tcPr>
          <w:p w14:paraId="6394B6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首页主看板全局公开；待处理清单、操作按钮、金额和凭证信息按角色和数据范围控制。</w:t>
            </w:r>
          </w:p>
        </w:tc>
      </w:tr>
    </w:tbl>
    <w:p w14:paraId="2620A1AD">
      <w:pPr>
        <w:spacing w:after="40"/>
      </w:pPr>
    </w:p>
    <w:p w14:paraId="65F43554">
      <w:pPr>
        <w:spacing w:before="160" w:after="100"/>
      </w:pPr>
      <w:r>
        <w:rPr>
          <w:rFonts w:ascii="宋体" w:hAnsi="宋体" w:eastAsia="宋体"/>
          <w:b/>
          <w:sz w:val="24"/>
        </w:rPr>
        <w:t>3.</w:t>
      </w:r>
      <w:r>
        <w:rPr>
          <w:rFonts w:hint="eastAsia"/>
          <w:b/>
          <w:sz w:val="24"/>
          <w:lang w:eastAsia="zh"/>
          <w:woUserID w:val="1"/>
        </w:rPr>
        <w:t>4</w:t>
      </w:r>
      <w:r>
        <w:rPr>
          <w:rFonts w:ascii="宋体" w:hAnsi="宋体" w:eastAsia="宋体"/>
          <w:b/>
          <w:sz w:val="24"/>
        </w:rPr>
        <w:t xml:space="preserve"> 端到端业务主线</w:t>
      </w:r>
    </w:p>
    <w:p w14:paraId="62AC46A6">
      <w:pPr>
        <w:spacing w:after="80"/>
        <w:ind w:left="255"/>
      </w:pPr>
      <w:r>
        <w:rPr>
          <w:rFonts w:ascii="Consolas" w:hAnsi="Consolas" w:eastAsia="宋体"/>
          <w:sz w:val="16"/>
        </w:rPr>
        <w:t>SAP交货单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交货单与物流发运单关联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物流单签收 / POD资料 / 客户自提邮件确认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创建对账单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下载对账单给客户确认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上传客户反馈并进行差异分析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差异借贷项处理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POD匹配与POD确认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自动生成预制发票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财务过账、打印、归档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综合查询与资料预览</w:t>
      </w:r>
    </w:p>
    <w:p w14:paraId="49335DDD">
      <w:pPr>
        <w:spacing w:before="240" w:after="160"/>
      </w:pPr>
      <w:r>
        <w:rPr>
          <w:rFonts w:ascii="宋体" w:hAnsi="宋体" w:eastAsia="宋体"/>
          <w:b/>
          <w:sz w:val="32"/>
        </w:rPr>
        <w:t>4. 功能点设计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154"/>
        <w:gridCol w:w="5216"/>
      </w:tblGrid>
      <w:tr w14:paraId="0626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2F2"/>
            <w:vAlign w:val="top"/>
          </w:tcPr>
          <w:p w14:paraId="09F71CC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模块</w:t>
            </w:r>
          </w:p>
        </w:tc>
        <w:tc>
          <w:tcPr>
            <w:tcW w:w="2154" w:type="dxa"/>
            <w:shd w:val="clear" w:color="auto" w:fill="F2F2F2"/>
            <w:vAlign w:val="top"/>
          </w:tcPr>
          <w:p w14:paraId="12E5067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功能点</w:t>
            </w:r>
          </w:p>
        </w:tc>
        <w:tc>
          <w:tcPr>
            <w:tcW w:w="5216" w:type="dxa"/>
            <w:shd w:val="clear" w:color="auto" w:fill="F2F2F2"/>
            <w:vAlign w:val="top"/>
          </w:tcPr>
          <w:p w14:paraId="1D7E60E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设计说明</w:t>
            </w:r>
          </w:p>
        </w:tc>
      </w:tr>
      <w:tr w14:paraId="74802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8DE36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首页驾驶舱</w:t>
            </w:r>
          </w:p>
        </w:tc>
        <w:tc>
          <w:tcPr>
            <w:tcW w:w="2154" w:type="dxa"/>
            <w:vAlign w:val="top"/>
          </w:tcPr>
          <w:p w14:paraId="11E472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流程节点+数量看板</w:t>
            </w:r>
          </w:p>
        </w:tc>
        <w:tc>
          <w:tcPr>
            <w:tcW w:w="5216" w:type="dxa"/>
            <w:vAlign w:val="top"/>
          </w:tcPr>
          <w:p w14:paraId="713142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上方展示物流分支三节点，下方展示对账分支两节点，后续汇总到POD匹配和发票过账；每个节点显示待办事项和单据数量。</w:t>
            </w:r>
          </w:p>
        </w:tc>
      </w:tr>
      <w:tr w14:paraId="64E6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1BC20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首页驾驶舱</w:t>
            </w:r>
          </w:p>
        </w:tc>
        <w:tc>
          <w:tcPr>
            <w:tcW w:w="2154" w:type="dxa"/>
            <w:vAlign w:val="top"/>
          </w:tcPr>
          <w:p w14:paraId="61D4CF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超期异常看板</w:t>
            </w:r>
          </w:p>
        </w:tc>
        <w:tc>
          <w:tcPr>
            <w:tcW w:w="5216" w:type="dxa"/>
            <w:vAlign w:val="top"/>
          </w:tcPr>
          <w:p w14:paraId="19D752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展示已发货未取得物流发运单超期、已取得发运单但未签收超期、已发货未创建对账单超期、已具备条件未POD确认超期。</w:t>
            </w:r>
          </w:p>
        </w:tc>
      </w:tr>
      <w:tr w14:paraId="527C0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40C92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数据采集中心</w:t>
            </w:r>
          </w:p>
        </w:tc>
        <w:tc>
          <w:tcPr>
            <w:tcW w:w="2154" w:type="dxa"/>
            <w:vAlign w:val="top"/>
          </w:tcPr>
          <w:p w14:paraId="0A5603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SAP交货单同步</w:t>
            </w:r>
          </w:p>
        </w:tc>
        <w:tc>
          <w:tcPr>
            <w:tcW w:w="5216" w:type="dxa"/>
            <w:vAlign w:val="top"/>
          </w:tcPr>
          <w:p w14:paraId="0C12A8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按客户和周期从SAP同步待处理交货单，支持手工刷新和定时任务。</w:t>
            </w:r>
          </w:p>
        </w:tc>
      </w:tr>
      <w:tr w14:paraId="30EC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72CB8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数据采集中心</w:t>
            </w:r>
          </w:p>
        </w:tc>
        <w:tc>
          <w:tcPr>
            <w:tcW w:w="2154" w:type="dxa"/>
            <w:vAlign w:val="top"/>
          </w:tcPr>
          <w:p w14:paraId="58E3AF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交货单与物流发运单关联</w:t>
            </w:r>
          </w:p>
        </w:tc>
        <w:tc>
          <w:tcPr>
            <w:tcW w:w="5216" w:type="dxa"/>
            <w:vAlign w:val="top"/>
          </w:tcPr>
          <w:p w14:paraId="30BA82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读取公共邮箱，识别交货单号、物流公司、物流发运单号，建立交货单与发运单关联关系。</w:t>
            </w:r>
          </w:p>
        </w:tc>
      </w:tr>
      <w:tr w14:paraId="2547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9E379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数据采集中心</w:t>
            </w:r>
          </w:p>
        </w:tc>
        <w:tc>
          <w:tcPr>
            <w:tcW w:w="2154" w:type="dxa"/>
            <w:vAlign w:val="top"/>
          </w:tcPr>
          <w:p w14:paraId="0FAFDE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物流单签收/POD资料读取</w:t>
            </w:r>
          </w:p>
        </w:tc>
        <w:tc>
          <w:tcPr>
            <w:tcW w:w="5216" w:type="dxa"/>
            <w:vAlign w:val="top"/>
          </w:tcPr>
          <w:p w14:paraId="32EFEE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从公共文件夹读取物流签收单、POD资料；客户自提通过邮件确认，视同签收。</w:t>
            </w:r>
          </w:p>
        </w:tc>
      </w:tr>
      <w:tr w14:paraId="5607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FAE36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</w:t>
            </w:r>
          </w:p>
        </w:tc>
        <w:tc>
          <w:tcPr>
            <w:tcW w:w="2154" w:type="dxa"/>
            <w:vAlign w:val="top"/>
          </w:tcPr>
          <w:p w14:paraId="621344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创建对账单</w:t>
            </w:r>
          </w:p>
        </w:tc>
        <w:tc>
          <w:tcPr>
            <w:tcW w:w="5216" w:type="dxa"/>
            <w:vAlign w:val="top"/>
          </w:tcPr>
          <w:p w14:paraId="1C0E63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在弹窗或独立区域中按客户、时间段查询交货单，选择后批量创建对账单。</w:t>
            </w:r>
          </w:p>
        </w:tc>
      </w:tr>
      <w:tr w14:paraId="763B9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BC5B9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</w:t>
            </w:r>
          </w:p>
        </w:tc>
        <w:tc>
          <w:tcPr>
            <w:tcW w:w="2154" w:type="dxa"/>
            <w:vAlign w:val="top"/>
          </w:tcPr>
          <w:p w14:paraId="2E4C47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对账单总览</w:t>
            </w:r>
          </w:p>
        </w:tc>
        <w:tc>
          <w:tcPr>
            <w:tcW w:w="5216" w:type="dxa"/>
            <w:vAlign w:val="top"/>
          </w:tcPr>
          <w:p w14:paraId="15951B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展示已创建对账单清单，包括下载状态、客户反馈、差异、借贷项、对账状态和备注。</w:t>
            </w:r>
          </w:p>
        </w:tc>
      </w:tr>
      <w:tr w14:paraId="1A30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5CBF1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</w:t>
            </w:r>
          </w:p>
        </w:tc>
        <w:tc>
          <w:tcPr>
            <w:tcW w:w="2154" w:type="dxa"/>
            <w:vAlign w:val="top"/>
          </w:tcPr>
          <w:p w14:paraId="33A76F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对账单明细</w:t>
            </w:r>
          </w:p>
        </w:tc>
        <w:tc>
          <w:tcPr>
            <w:tcW w:w="5216" w:type="dxa"/>
            <w:vAlign w:val="top"/>
          </w:tcPr>
          <w:p w14:paraId="4C9726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查看某张对账单包含的交货单明细、金额、客户反馈、差异原因和借贷项状态。</w:t>
            </w:r>
          </w:p>
        </w:tc>
      </w:tr>
      <w:tr w14:paraId="0FC14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64823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</w:t>
            </w:r>
          </w:p>
        </w:tc>
        <w:tc>
          <w:tcPr>
            <w:tcW w:w="2154" w:type="dxa"/>
            <w:vAlign w:val="top"/>
          </w:tcPr>
          <w:p w14:paraId="368E6F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下载、上传、差异分析</w:t>
            </w:r>
          </w:p>
        </w:tc>
        <w:tc>
          <w:tcPr>
            <w:tcW w:w="5216" w:type="dxa"/>
            <w:vAlign w:val="top"/>
          </w:tcPr>
          <w:p w14:paraId="750BB6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下载对账单给客户确认，上传客户反馈后执行差异分析。</w:t>
            </w:r>
          </w:p>
        </w:tc>
      </w:tr>
      <w:tr w14:paraId="46D64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F63DF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</w:t>
            </w:r>
          </w:p>
        </w:tc>
        <w:tc>
          <w:tcPr>
            <w:tcW w:w="2154" w:type="dxa"/>
            <w:vAlign w:val="top"/>
          </w:tcPr>
          <w:p w14:paraId="37C5FD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借贷项处理</w:t>
            </w:r>
          </w:p>
        </w:tc>
        <w:tc>
          <w:tcPr>
            <w:tcW w:w="5216" w:type="dxa"/>
            <w:vAlign w:val="top"/>
          </w:tcPr>
          <w:p w14:paraId="25891C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对差异结果生成/关联借贷项，并跟踪借贷项过账状态；完成后才允许POD确认。</w:t>
            </w:r>
          </w:p>
        </w:tc>
      </w:tr>
      <w:tr w14:paraId="596C7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9C719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POD匹配</w:t>
            </w:r>
          </w:p>
        </w:tc>
        <w:tc>
          <w:tcPr>
            <w:tcW w:w="2154" w:type="dxa"/>
            <w:vAlign w:val="top"/>
          </w:tcPr>
          <w:p w14:paraId="53FD32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POD横向匹配表</w:t>
            </w:r>
          </w:p>
        </w:tc>
        <w:tc>
          <w:tcPr>
            <w:tcW w:w="5216" w:type="dxa"/>
            <w:vAlign w:val="top"/>
          </w:tcPr>
          <w:p w14:paraId="3AB1E8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按交货单展示SAP交货单、物流发运单、签收/POD、对账单、借贷项状态、匹配结果和确认结论。</w:t>
            </w:r>
          </w:p>
        </w:tc>
      </w:tr>
      <w:tr w14:paraId="78E3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D5300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POD匹配</w:t>
            </w:r>
          </w:p>
        </w:tc>
        <w:tc>
          <w:tcPr>
            <w:tcW w:w="2154" w:type="dxa"/>
            <w:vAlign w:val="top"/>
          </w:tcPr>
          <w:p w14:paraId="2820EC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保存与POD确认</w:t>
            </w:r>
          </w:p>
        </w:tc>
        <w:tc>
          <w:tcPr>
            <w:tcW w:w="5216" w:type="dxa"/>
            <w:vAlign w:val="top"/>
          </w:tcPr>
          <w:p w14:paraId="00FF59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页面主按钮只保留保存和POD确认；POD确认后自动生成预制发票和POD日志。</w:t>
            </w:r>
          </w:p>
        </w:tc>
      </w:tr>
      <w:tr w14:paraId="2364E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2FA41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发票过账</w:t>
            </w:r>
          </w:p>
        </w:tc>
        <w:tc>
          <w:tcPr>
            <w:tcW w:w="2154" w:type="dxa"/>
            <w:vAlign w:val="top"/>
          </w:tcPr>
          <w:p w14:paraId="51C624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待过账清单</w:t>
            </w:r>
          </w:p>
        </w:tc>
        <w:tc>
          <w:tcPr>
            <w:tcW w:w="5216" w:type="dxa"/>
            <w:vAlign w:val="top"/>
          </w:tcPr>
          <w:p w14:paraId="6418B1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展示POD已确认且预制发票已生成的记录，供财务处理过账、打印和归档。</w:t>
            </w:r>
          </w:p>
        </w:tc>
      </w:tr>
      <w:tr w14:paraId="2423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9E431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发票过账</w:t>
            </w:r>
          </w:p>
        </w:tc>
        <w:tc>
          <w:tcPr>
            <w:tcW w:w="2154" w:type="dxa"/>
            <w:vAlign w:val="top"/>
          </w:tcPr>
          <w:p w14:paraId="2F9D2E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财务过账与凭证回写</w:t>
            </w:r>
          </w:p>
        </w:tc>
        <w:tc>
          <w:tcPr>
            <w:tcW w:w="5216" w:type="dxa"/>
            <w:vAlign w:val="top"/>
          </w:tcPr>
          <w:p w14:paraId="59B06E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调用SAP过账接口，回写凭证号、过账状态和过账时间。</w:t>
            </w:r>
          </w:p>
        </w:tc>
      </w:tr>
      <w:tr w14:paraId="7320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345FB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资料预览打印</w:t>
            </w:r>
          </w:p>
        </w:tc>
        <w:tc>
          <w:tcPr>
            <w:tcW w:w="2154" w:type="dxa"/>
            <w:vAlign w:val="top"/>
          </w:tcPr>
          <w:p w14:paraId="5F26E0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公共资料预览弹窗</w:t>
            </w:r>
          </w:p>
        </w:tc>
        <w:tc>
          <w:tcPr>
            <w:tcW w:w="5216" w:type="dxa"/>
            <w:vAlign w:val="top"/>
          </w:tcPr>
          <w:p w14:paraId="04FBDF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在发票过账和综合查询中复用，预览交货单、物流发运单、签收/POD、对账单、POD日志、预制发票和过账凭证。</w:t>
            </w:r>
          </w:p>
        </w:tc>
      </w:tr>
      <w:tr w14:paraId="55AE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68EC2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综合查询</w:t>
            </w:r>
          </w:p>
        </w:tc>
        <w:tc>
          <w:tcPr>
            <w:tcW w:w="2154" w:type="dxa"/>
            <w:vAlign w:val="top"/>
          </w:tcPr>
          <w:p w14:paraId="362BDD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全链路状态查询</w:t>
            </w:r>
          </w:p>
        </w:tc>
        <w:tc>
          <w:tcPr>
            <w:tcW w:w="5216" w:type="dxa"/>
            <w:vAlign w:val="top"/>
          </w:tcPr>
          <w:p w14:paraId="3B4598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一行展示一张交货单的全链路状态，支持筛选、排序、资料预览和补充资料上传。</w:t>
            </w:r>
          </w:p>
        </w:tc>
      </w:tr>
      <w:tr w14:paraId="116F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1DF77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权限与审计</w:t>
            </w:r>
          </w:p>
        </w:tc>
        <w:tc>
          <w:tcPr>
            <w:tcW w:w="2154" w:type="dxa"/>
            <w:vAlign w:val="top"/>
          </w:tcPr>
          <w:p w14:paraId="24F825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角色权限控制</w:t>
            </w:r>
          </w:p>
        </w:tc>
        <w:tc>
          <w:tcPr>
            <w:tcW w:w="5216" w:type="dxa"/>
            <w:vAlign w:val="top"/>
          </w:tcPr>
          <w:p w14:paraId="2122A5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按CS、CS经理、物流、财务、财务主管、系统管理员控制数据范围、字段和按钮。</w:t>
            </w:r>
          </w:p>
        </w:tc>
      </w:tr>
      <w:tr w14:paraId="08160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02C18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系统配置</w:t>
            </w:r>
          </w:p>
        </w:tc>
        <w:tc>
          <w:tcPr>
            <w:tcW w:w="2154" w:type="dxa"/>
            <w:vAlign w:val="top"/>
          </w:tcPr>
          <w:p w14:paraId="6A87B6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基础参数配置</w:t>
            </w:r>
          </w:p>
        </w:tc>
        <w:tc>
          <w:tcPr>
            <w:tcW w:w="5216" w:type="dxa"/>
            <w:vAlign w:val="top"/>
          </w:tcPr>
          <w:p w14:paraId="3BE683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维护拉取频率、异常天数、对账差异规则、POD确认条件、打印规则和接口重试参数。</w:t>
            </w:r>
          </w:p>
        </w:tc>
      </w:tr>
    </w:tbl>
    <w:p w14:paraId="6408F4FA">
      <w:pPr>
        <w:spacing w:after="40"/>
      </w:pPr>
    </w:p>
    <w:p w14:paraId="152716CB">
      <w:pPr>
        <w:spacing w:before="240" w:after="160"/>
      </w:pPr>
      <w:r>
        <w:rPr>
          <w:rFonts w:ascii="宋体" w:hAnsi="宋体" w:eastAsia="宋体"/>
          <w:b/>
          <w:sz w:val="32"/>
        </w:rPr>
        <w:t>5. 系统间集成关系</w:t>
      </w:r>
    </w:p>
    <w:p w14:paraId="048883A9">
      <w:pPr>
        <w:spacing w:before="160" w:after="100"/>
      </w:pPr>
      <w:r>
        <w:rPr>
          <w:rFonts w:ascii="宋体" w:hAnsi="宋体" w:eastAsia="宋体"/>
          <w:b/>
          <w:sz w:val="24"/>
        </w:rPr>
        <w:t>5.1 集成系统清单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515"/>
        <w:gridCol w:w="3402"/>
      </w:tblGrid>
      <w:tr w14:paraId="6667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2F2"/>
            <w:vAlign w:val="top"/>
          </w:tcPr>
          <w:p w14:paraId="66A78C5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系统/服务</w:t>
            </w:r>
          </w:p>
        </w:tc>
        <w:tc>
          <w:tcPr>
            <w:tcW w:w="3515" w:type="dxa"/>
            <w:shd w:val="clear" w:color="auto" w:fill="F2F2F2"/>
            <w:vAlign w:val="top"/>
          </w:tcPr>
          <w:p w14:paraId="2169A6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集成目的</w:t>
            </w:r>
          </w:p>
        </w:tc>
        <w:tc>
          <w:tcPr>
            <w:tcW w:w="3402" w:type="dxa"/>
            <w:shd w:val="clear" w:color="auto" w:fill="F2F2F2"/>
            <w:vAlign w:val="top"/>
          </w:tcPr>
          <w:p w14:paraId="57C15CD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主要数据</w:t>
            </w:r>
          </w:p>
        </w:tc>
      </w:tr>
      <w:tr w14:paraId="19FB1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3F0CB1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 SD</w:t>
            </w:r>
          </w:p>
        </w:tc>
        <w:tc>
          <w:tcPr>
            <w:tcW w:w="3515" w:type="dxa"/>
            <w:vAlign w:val="top"/>
          </w:tcPr>
          <w:p w14:paraId="2AD693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读取交货单、生成预制发票、执行发票过账、查询凭证</w:t>
            </w:r>
          </w:p>
        </w:tc>
        <w:tc>
          <w:tcPr>
            <w:tcW w:w="3402" w:type="dxa"/>
            <w:vAlign w:val="top"/>
          </w:tcPr>
          <w:p w14:paraId="01DD3A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交货单、客户、金额、预制发票、会计凭证</w:t>
            </w:r>
          </w:p>
        </w:tc>
      </w:tr>
      <w:tr w14:paraId="74559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79E903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公共邮箱</w:t>
            </w:r>
          </w:p>
        </w:tc>
        <w:tc>
          <w:tcPr>
            <w:tcW w:w="3515" w:type="dxa"/>
            <w:vAlign w:val="top"/>
          </w:tcPr>
          <w:p w14:paraId="03A3CC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读取仓库、物流、客户自提相关邮件，建立交货单与物流发运单关联</w:t>
            </w:r>
          </w:p>
        </w:tc>
        <w:tc>
          <w:tcPr>
            <w:tcW w:w="3402" w:type="dxa"/>
            <w:vAlign w:val="top"/>
          </w:tcPr>
          <w:p w14:paraId="3F53FE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邮件主题、正文、发件人、时间、交货单号、发运单号、自提确认</w:t>
            </w:r>
          </w:p>
        </w:tc>
      </w:tr>
      <w:tr w14:paraId="36A5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5ACC76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公共文件夹/网盘</w:t>
            </w:r>
          </w:p>
        </w:tc>
        <w:tc>
          <w:tcPr>
            <w:tcW w:w="3515" w:type="dxa"/>
            <w:vAlign w:val="top"/>
          </w:tcPr>
          <w:p w14:paraId="3FD613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读取物流单、签收单、POD资料和客户反馈对账文件</w:t>
            </w:r>
          </w:p>
        </w:tc>
        <w:tc>
          <w:tcPr>
            <w:tcW w:w="3402" w:type="dxa"/>
            <w:vAlign w:val="top"/>
          </w:tcPr>
          <w:p w14:paraId="6E2C40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文件路径、文件名、文件类型、签收资料、对账反馈</w:t>
            </w:r>
          </w:p>
        </w:tc>
      </w:tr>
      <w:tr w14:paraId="2E4B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22475E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文件服务/对象存储</w:t>
            </w:r>
          </w:p>
        </w:tc>
        <w:tc>
          <w:tcPr>
            <w:tcW w:w="3515" w:type="dxa"/>
            <w:vAlign w:val="top"/>
          </w:tcPr>
          <w:p w14:paraId="6AC8B4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保存原始资料、识别结果、补充附件、归档文件和预览地址</w:t>
            </w:r>
          </w:p>
        </w:tc>
        <w:tc>
          <w:tcPr>
            <w:tcW w:w="3402" w:type="dxa"/>
            <w:vAlign w:val="top"/>
          </w:tcPr>
          <w:p w14:paraId="3037AB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文件ID、文件名、业务对象、预览地址</w:t>
            </w:r>
          </w:p>
        </w:tc>
      </w:tr>
      <w:tr w14:paraId="44A8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6D8789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OCR/AI识别服务</w:t>
            </w:r>
          </w:p>
        </w:tc>
        <w:tc>
          <w:tcPr>
            <w:tcW w:w="3515" w:type="dxa"/>
            <w:vAlign w:val="top"/>
          </w:tcPr>
          <w:p w14:paraId="096E64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识别物流签收单、POD资料、对账单、邮件关键信息</w:t>
            </w:r>
          </w:p>
        </w:tc>
        <w:tc>
          <w:tcPr>
            <w:tcW w:w="3402" w:type="dxa"/>
            <w:vAlign w:val="top"/>
          </w:tcPr>
          <w:p w14:paraId="4BE414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结构化字段、置信度、识别结果、异常提示</w:t>
            </w:r>
          </w:p>
        </w:tc>
      </w:tr>
      <w:tr w14:paraId="5910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12FB44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客户主数据/销售主数据</w:t>
            </w:r>
          </w:p>
        </w:tc>
        <w:tc>
          <w:tcPr>
            <w:tcW w:w="3515" w:type="dxa"/>
            <w:vAlign w:val="top"/>
          </w:tcPr>
          <w:p w14:paraId="63A114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校验客户、销售组织、交货单归属和数据范围</w:t>
            </w:r>
          </w:p>
        </w:tc>
        <w:tc>
          <w:tcPr>
            <w:tcW w:w="3402" w:type="dxa"/>
            <w:vAlign w:val="top"/>
          </w:tcPr>
          <w:p w14:paraId="5A169D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客户编码、客户名称、销售组织、CS负责人</w:t>
            </w:r>
          </w:p>
        </w:tc>
      </w:tr>
      <w:tr w14:paraId="404D3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454F1C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组织权限/AD</w:t>
            </w:r>
          </w:p>
        </w:tc>
        <w:tc>
          <w:tcPr>
            <w:tcW w:w="3515" w:type="dxa"/>
            <w:vAlign w:val="top"/>
          </w:tcPr>
          <w:p w14:paraId="2F3364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登录、角色、组织和数据范围控制</w:t>
            </w:r>
          </w:p>
        </w:tc>
        <w:tc>
          <w:tcPr>
            <w:tcW w:w="3402" w:type="dxa"/>
            <w:vAlign w:val="top"/>
          </w:tcPr>
          <w:p w14:paraId="534A2D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用户、角色、数据权限、操作权限</w:t>
            </w:r>
          </w:p>
        </w:tc>
      </w:tr>
      <w:tr w14:paraId="2F40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43ED65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打印服务/浏览器打印</w:t>
            </w:r>
          </w:p>
        </w:tc>
        <w:tc>
          <w:tcPr>
            <w:tcW w:w="3515" w:type="dxa"/>
            <w:vAlign w:val="top"/>
          </w:tcPr>
          <w:p w14:paraId="4E3BE0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打印POD资料、对账单、POD日志、预制发票和凭证</w:t>
            </w:r>
          </w:p>
        </w:tc>
        <w:tc>
          <w:tcPr>
            <w:tcW w:w="3402" w:type="dxa"/>
            <w:vAlign w:val="top"/>
          </w:tcPr>
          <w:p w14:paraId="7A8BC7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文件、模板、打印任务</w:t>
            </w:r>
          </w:p>
        </w:tc>
      </w:tr>
      <w:tr w14:paraId="6DAB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6CB300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IM/消息通知</w:t>
            </w:r>
          </w:p>
        </w:tc>
        <w:tc>
          <w:tcPr>
            <w:tcW w:w="3515" w:type="dxa"/>
            <w:vAlign w:val="top"/>
          </w:tcPr>
          <w:p w14:paraId="2D7246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向CS、物流、财务推送待办和异常提醒</w:t>
            </w:r>
          </w:p>
        </w:tc>
        <w:tc>
          <w:tcPr>
            <w:tcW w:w="3402" w:type="dxa"/>
            <w:vAlign w:val="top"/>
          </w:tcPr>
          <w:p w14:paraId="144A01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待办消息、异常提醒、处理链接</w:t>
            </w:r>
          </w:p>
        </w:tc>
      </w:tr>
      <w:tr w14:paraId="05643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top"/>
          </w:tcPr>
          <w:p w14:paraId="0EE651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日志/监控服务</w:t>
            </w:r>
          </w:p>
        </w:tc>
        <w:tc>
          <w:tcPr>
            <w:tcW w:w="3515" w:type="dxa"/>
            <w:vAlign w:val="top"/>
          </w:tcPr>
          <w:p w14:paraId="37887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接口调用、业务操作和异常监控</w:t>
            </w:r>
          </w:p>
        </w:tc>
        <w:tc>
          <w:tcPr>
            <w:tcW w:w="3402" w:type="dxa"/>
            <w:vAlign w:val="top"/>
          </w:tcPr>
          <w:p w14:paraId="2E1B13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接口日志、操作日志、异常日志</w:t>
            </w:r>
          </w:p>
        </w:tc>
      </w:tr>
    </w:tbl>
    <w:p w14:paraId="0D1C995F">
      <w:pPr>
        <w:spacing w:after="40"/>
      </w:pPr>
    </w:p>
    <w:p w14:paraId="75F9C64C">
      <w:pPr>
        <w:spacing w:before="160" w:after="100"/>
      </w:pPr>
      <w:r>
        <w:rPr>
          <w:rFonts w:ascii="宋体" w:hAnsi="宋体" w:eastAsia="宋体"/>
          <w:b/>
          <w:sz w:val="24"/>
        </w:rPr>
        <w:t>5.2 系统间数据流</w:t>
      </w:r>
    </w:p>
    <w:p w14:paraId="623DBFAF">
      <w:pPr>
        <w:spacing w:after="80"/>
        <w:ind w:left="255"/>
      </w:pPr>
      <w:r>
        <w:rPr>
          <w:rFonts w:ascii="Consolas" w:hAnsi="Consolas" w:eastAsia="宋体"/>
          <w:sz w:val="16"/>
        </w:rPr>
        <w:t>SAP SD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交货单同步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销售POD收入确认工作台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公共邮箱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交货单与物流发运单关联 / 客户自提邮件确认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销售POD收入确认工作台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公共文件夹 / 文件服务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物流签收单 / POD资料 / 客户反馈对账文件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AI识别服务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结构化结果与文件归档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销售POD收入确认工作台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创建对账单 / 下载 / 上传客户反馈 / 差异分析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借贷项处理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SAP自动生成预制发票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SAP过账并回写凭证号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综合查询 / 打印 / 归档</w:t>
      </w:r>
    </w:p>
    <w:p w14:paraId="201FCA5A">
      <w:pPr>
        <w:spacing w:before="240" w:after="160"/>
      </w:pPr>
      <w:r>
        <w:rPr>
          <w:rFonts w:ascii="宋体" w:hAnsi="宋体" w:eastAsia="宋体"/>
          <w:b/>
          <w:sz w:val="32"/>
        </w:rPr>
        <w:t>6. 系统架构设计</w:t>
      </w:r>
    </w:p>
    <w:p w14:paraId="1844DC82">
      <w:pPr>
        <w:spacing w:before="160" w:after="100"/>
      </w:pPr>
      <w:r>
        <w:rPr>
          <w:rFonts w:ascii="宋体" w:hAnsi="宋体" w:eastAsia="宋体"/>
          <w:b/>
          <w:sz w:val="24"/>
        </w:rPr>
        <w:t>6.1 总体架构</w:t>
      </w:r>
    </w:p>
    <w:p w14:paraId="2D484288">
      <w:pPr>
        <w:spacing w:after="80"/>
        <w:ind w:left="255"/>
      </w:pPr>
      <w:r>
        <w:rPr>
          <w:rFonts w:ascii="Consolas" w:hAnsi="Consolas" w:eastAsia="宋体"/>
          <w:sz w:val="16"/>
        </w:rPr>
        <w:t>用户层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CS / CS经理 / 物流 / 财务 / 财务主管 / 系统管理员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前端交互层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首页驾驶舱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数据采集中心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对账单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POD匹配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发票过账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综合查询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资料预览弹窗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系统配置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业务服务层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交货单服务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物流关联服务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POD资料服务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对账单服务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借贷项服务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POD匹配服务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POD确认服务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预制发票服务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发票过账服务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资料预览打印服务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权限服务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报表服务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AI与规则层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邮件识别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物流单/POD识别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对账单识别与差异分析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POD确认规则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借贷项规则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超期异常规则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权限规则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打印归档规则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集成服务层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SAP适配器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公共邮箱适配器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公共文件夹适配器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文件服务适配器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OCR/AI适配器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组织权限适配器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打印服务适配器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消息通知适配器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数据存储层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交货单表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物流发运关联表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POD资料表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对账单主表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对账单明细表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借贷项表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POD确认表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预制发票表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过账凭证表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文件资料表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操作日志表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接口日志表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运维审计层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定时任务监控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接口监控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失败重试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操作审计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权限审计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异常监控</w:t>
      </w:r>
    </w:p>
    <w:p w14:paraId="28E84ECC">
      <w:pPr>
        <w:spacing w:before="160" w:after="100"/>
      </w:pPr>
      <w:r>
        <w:rPr>
          <w:rFonts w:ascii="宋体" w:hAnsi="宋体" w:eastAsia="宋体"/>
          <w:b/>
          <w:sz w:val="24"/>
        </w:rPr>
        <w:t>6.2 架构说明</w:t>
      </w:r>
    </w:p>
    <w:p w14:paraId="3D810F3F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前端交互层围绕六个一级页面组织：首页驾驶舱负责全局状态和异常展示；数据采集中心负责交货单、物流关联和签收资料采集；对账单页面负责创建、下载、上传、差异分析和借贷项；POD匹配页面负责保存和POD确认；发票过账页面负责财务过账、打印和归档；综合查询负责全链路状态和资料预览。</w:t>
      </w:r>
    </w:p>
    <w:p w14:paraId="0A8DD9C3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业务服务层建议采用模块化服务设计。项目初期可采用单体应用内部分模块实现，后续可按服务拆分为交货单服务、对账单服务、POD匹配服务、SAP集成服务、文件服务、权限服务和报表服务。</w:t>
      </w:r>
    </w:p>
    <w:p w14:paraId="3954836E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AI与规则层负责邮件信息识别、物流签收资料识别、对账单差异分析、POD确认规则和超期异常规则。AI能力作为辅助识别和自动化判断能力，关键财务动作仍需保留人工确认和审计记录。</w:t>
      </w:r>
    </w:p>
    <w:p w14:paraId="58B7B964">
      <w:pPr>
        <w:spacing w:before="240" w:after="160"/>
      </w:pPr>
      <w:r>
        <w:rPr>
          <w:rFonts w:ascii="宋体" w:hAnsi="宋体" w:eastAsia="宋体"/>
          <w:b/>
          <w:sz w:val="32"/>
        </w:rPr>
        <w:t>7. 领域模型设计</w:t>
      </w:r>
    </w:p>
    <w:p w14:paraId="7F72EB34">
      <w:pPr>
        <w:spacing w:before="160" w:after="100"/>
      </w:pPr>
      <w:r>
        <w:rPr>
          <w:rFonts w:ascii="宋体" w:hAnsi="宋体" w:eastAsia="宋体"/>
          <w:b/>
          <w:sz w:val="24"/>
        </w:rPr>
        <w:t>7.1 核心领域对象</w:t>
      </w:r>
    </w:p>
    <w:p w14:paraId="43A15A42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核心领域对象包括SAP交货单、交货单明细、物流发运关联、物流签收/POD资料、对账单、对账单明细、借贷项、POD匹配关系、POD确认、POD日志、预制发票、过账凭证、文件资料、操作日志、接口日志和用户权限。</w:t>
      </w:r>
    </w:p>
    <w:p w14:paraId="293D437E">
      <w:pPr>
        <w:spacing w:before="160" w:after="100"/>
      </w:pPr>
      <w:r>
        <w:rPr>
          <w:rFonts w:ascii="宋体" w:hAnsi="宋体" w:eastAsia="宋体"/>
          <w:b/>
          <w:sz w:val="24"/>
        </w:rPr>
        <w:t>7.2 领域对象关系</w:t>
      </w:r>
    </w:p>
    <w:p w14:paraId="6306D316">
      <w:pPr>
        <w:spacing w:after="80"/>
        <w:ind w:left="255"/>
      </w:pPr>
      <w:r>
        <w:rPr>
          <w:rFonts w:ascii="Consolas" w:hAnsi="Consolas" w:eastAsia="宋体"/>
          <w:sz w:val="16"/>
        </w:rPr>
        <w:t>SAP交货单 DeliveryOrder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N 交货单明细 DeliveryOrderLine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0..N 物流发运关联 ShipmentRelation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0..N POD资料 PODDocument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0..N 对账单明细 ReconciliationLine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0..1 POD确认 PODConfirmation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0..1 预制发票 PreInvoice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0..1 过账凭证 AccountingVoucher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对账单 ReconciliationStatement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N 对账单明细 ReconciliationLine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0..N 借贷项 CreditDebitItem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物流发运关联 ShipmentRelation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N → 1 SAP交货单 DeliveryOrder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0..N POD资料 PODDocument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POD确认 PODConfirmation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1 SAP交货单 DeliveryOrder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0..1 POD日志 PODLog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1 → 0..1 预制发票 PreInvoice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文件资料 Attachment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N → 1 业务对象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用户 User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N ↔ N 角色 Role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角色控制页面、按钮、字段和数据范围</w:t>
      </w:r>
    </w:p>
    <w:p w14:paraId="7E63D9E5">
      <w:pPr>
        <w:spacing w:before="240" w:after="160"/>
      </w:pPr>
      <w:r>
        <w:rPr>
          <w:rFonts w:ascii="宋体" w:hAnsi="宋体" w:eastAsia="宋体"/>
          <w:b/>
          <w:sz w:val="32"/>
        </w:rPr>
        <w:t>8. 关键场景时序图</w:t>
      </w:r>
    </w:p>
    <w:p w14:paraId="19E0570E">
      <w:pPr>
        <w:spacing w:before="160" w:after="100"/>
      </w:pPr>
      <w:r>
        <w:rPr>
          <w:rFonts w:ascii="宋体" w:hAnsi="宋体" w:eastAsia="宋体"/>
          <w:b/>
          <w:sz w:val="24"/>
        </w:rPr>
        <w:t>8.1 SAP交货单定时同步</w:t>
      </w:r>
    </w:p>
    <w:p w14:paraId="52E845ED">
      <w:pPr>
        <w:spacing w:after="80"/>
        <w:ind w:left="255"/>
      </w:pPr>
      <w:r>
        <w:rPr>
          <w:rFonts w:ascii="Consolas" w:hAnsi="Consolas" w:eastAsia="宋体"/>
          <w:sz w:val="16"/>
        </w:rPr>
        <w:t>系统定时任务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销售POD工作台：触发交货单同步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销售POD工作台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SAP SD：按客户、组织、时间范围查询已发货交货单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SAP SD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销售POD工作台：返回交货单和交货单明细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销售POD工作台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交货单服务：保存或更新交货单状态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销售POD工作台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首页驾驶舱：更新待创建对账单、待物流关联等节点数量</w:t>
      </w:r>
    </w:p>
    <w:p w14:paraId="5E2FEF33">
      <w:pPr>
        <w:spacing w:before="160" w:after="100"/>
      </w:pPr>
      <w:r>
        <w:rPr>
          <w:rFonts w:ascii="宋体" w:hAnsi="宋体" w:eastAsia="宋体"/>
          <w:b/>
          <w:sz w:val="24"/>
        </w:rPr>
        <w:t>8.2 邮件读取并建立物流发运关联</w:t>
      </w:r>
    </w:p>
    <w:p w14:paraId="5793FD26">
      <w:pPr>
        <w:spacing w:after="80"/>
        <w:ind w:left="255"/>
      </w:pPr>
      <w:r>
        <w:rPr>
          <w:rFonts w:ascii="Consolas" w:hAnsi="Consolas" w:eastAsia="宋体"/>
          <w:sz w:val="16"/>
        </w:rPr>
        <w:t>系统定时任务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公共邮箱适配器：读取仓库与物流邮件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公共邮箱适配器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AI/规则服务：识别交货单号、物流公司、物流发运单号、客户自提确认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AI/规则服务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物流关联服务：生成交货单与物流发运单关联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物流关联服务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文件资料表：保存邮件原文和识别结果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物流关联服务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首页驾驶舱：更新物流关联状态</w:t>
      </w:r>
    </w:p>
    <w:p w14:paraId="75318BC4">
      <w:pPr>
        <w:spacing w:before="160" w:after="100"/>
      </w:pPr>
      <w:r>
        <w:rPr>
          <w:rFonts w:ascii="宋体" w:hAnsi="宋体" w:eastAsia="宋体"/>
          <w:b/>
          <w:sz w:val="24"/>
        </w:rPr>
        <w:t>8.3 物流签收/POD资料读取</w:t>
      </w:r>
    </w:p>
    <w:p w14:paraId="555A8E3F">
      <w:pPr>
        <w:spacing w:after="80"/>
        <w:ind w:left="255"/>
      </w:pPr>
      <w:r>
        <w:rPr>
          <w:rFonts w:ascii="Consolas" w:hAnsi="Consolas" w:eastAsia="宋体"/>
          <w:sz w:val="16"/>
        </w:rPr>
        <w:t>系统定时任务/物流人员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公共文件夹：读取物流签收单、POD资料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销售POD工作台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文件服务：保存原始文件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销售POD工作台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AI识别服务：识别签收人、签收时间、签收结果、物流单号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AI识别服务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POD资料服务：保存结构化签收信息和置信度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POD资料服务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数据采集中心：展示签收资料和原始凭证预览</w:t>
      </w:r>
    </w:p>
    <w:p w14:paraId="7633976D">
      <w:pPr>
        <w:spacing w:before="160" w:after="100"/>
      </w:pPr>
      <w:r>
        <w:rPr>
          <w:rFonts w:ascii="宋体" w:hAnsi="宋体" w:eastAsia="宋体"/>
          <w:b/>
          <w:sz w:val="24"/>
        </w:rPr>
        <w:t>8.4 创建对账单、下载、上传和差异分析</w:t>
      </w:r>
    </w:p>
    <w:p w14:paraId="7C8E6721">
      <w:pPr>
        <w:spacing w:after="80"/>
        <w:ind w:left="255"/>
      </w:pPr>
      <w:r>
        <w:rPr>
          <w:rFonts w:ascii="Consolas" w:hAnsi="Consolas" w:eastAsia="宋体"/>
          <w:sz w:val="16"/>
        </w:rPr>
        <w:t>CS用户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对账单页面：按客户和周期查询待处理SAP交货单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对账单页面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对账单服务：勾选交货单并创建对账单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对账单服务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文件服务：生成对账单文件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CS用户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对账单页面：下载对账单并发送客户确认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客户反馈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对账单页面：上传客户反馈文件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对账单服务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差异分析服务：比对SAP数据与客户反馈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差异分析服务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对账单服务：更新差异和借贷项状态</w:t>
      </w:r>
    </w:p>
    <w:p w14:paraId="655812DC">
      <w:pPr>
        <w:spacing w:before="160" w:after="100"/>
      </w:pPr>
      <w:r>
        <w:rPr>
          <w:rFonts w:ascii="宋体" w:hAnsi="宋体" w:eastAsia="宋体"/>
          <w:b/>
          <w:sz w:val="24"/>
        </w:rPr>
        <w:t>8.5 借贷项处理</w:t>
      </w:r>
    </w:p>
    <w:p w14:paraId="58CE310B">
      <w:pPr>
        <w:spacing w:after="80"/>
        <w:ind w:left="255"/>
      </w:pPr>
      <w:r>
        <w:rPr>
          <w:rFonts w:ascii="Consolas" w:hAnsi="Consolas" w:eastAsia="宋体"/>
          <w:sz w:val="16"/>
        </w:rPr>
        <w:t>CS用户/财务用户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对账单页面：查看差异结果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对账单页面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借贷项服务：生成或关联借贷项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借贷项服务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SAP/财务系统：执行借贷项过账或查询处理状态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SAP/财务系统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借贷项服务：返回借贷项结果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借贷项服务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对账单服务：更新借贷项完成状态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对账单服务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POD匹配服务：开放POD确认条件</w:t>
      </w:r>
    </w:p>
    <w:p w14:paraId="225CC2F4">
      <w:pPr>
        <w:spacing w:before="160" w:after="100"/>
      </w:pPr>
      <w:r>
        <w:rPr>
          <w:rFonts w:ascii="宋体" w:hAnsi="宋体" w:eastAsia="宋体"/>
          <w:b/>
          <w:sz w:val="24"/>
        </w:rPr>
        <w:t>8.6 POD保存与POD确认</w:t>
      </w:r>
    </w:p>
    <w:p w14:paraId="37267127">
      <w:pPr>
        <w:spacing w:after="80"/>
        <w:ind w:left="255"/>
      </w:pPr>
      <w:r>
        <w:rPr>
          <w:rFonts w:ascii="Consolas" w:hAnsi="Consolas" w:eastAsia="宋体"/>
          <w:sz w:val="16"/>
        </w:rPr>
        <w:t>CS用户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POD匹配页面：选择交货单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POD匹配页面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POD匹配服务：读取交货单、物流关联、签收资料、对账单、借贷项状态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POD匹配服务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POD匹配页面：返回匹配结论和确认条件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CS用户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POD匹配页面：点击保存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POD匹配服务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操作日志：保存匹配关系和备注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CS用户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POD匹配页面：点击POD确认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POD匹配服务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规则服务：校验物流签收、对账完成、借贷项完成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规则服务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POD确认服务：生成POD确认和POD日志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POD确认服务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SAP：自动生成预制发票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SAP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POD确认服务：返回预制发票状态</w:t>
      </w:r>
    </w:p>
    <w:p w14:paraId="4B9EC08A">
      <w:pPr>
        <w:spacing w:before="160" w:after="100"/>
      </w:pPr>
      <w:r>
        <w:rPr>
          <w:rFonts w:ascii="宋体" w:hAnsi="宋体" w:eastAsia="宋体"/>
          <w:b/>
          <w:sz w:val="24"/>
        </w:rPr>
        <w:t>8.7 发票过账、打印与归档</w:t>
      </w:r>
    </w:p>
    <w:p w14:paraId="1EE766BF">
      <w:pPr>
        <w:spacing w:after="80"/>
        <w:ind w:left="255"/>
      </w:pPr>
      <w:r>
        <w:rPr>
          <w:rFonts w:ascii="Consolas" w:hAnsi="Consolas" w:eastAsia="宋体"/>
          <w:sz w:val="16"/>
        </w:rPr>
        <w:t>财务用户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发票过账页面：选择已预制记录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发票过账页面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权限服务：校验财务过账权限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发票过账页面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SAP：执行发票过账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SAP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发票过账服务：返回凭证号和过账状态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发票过账服务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文件服务：生成或关联过账凭证资料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财务用户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资料预览弹窗：打印POD、对账单、POD日志、凭证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财务用户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发票过账页面：归档资料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发票过账服务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→ 综合查询：更新归档状态</w:t>
      </w:r>
    </w:p>
    <w:p w14:paraId="4FED7F4B">
      <w:pPr>
        <w:spacing w:before="240" w:after="160"/>
      </w:pPr>
      <w:r>
        <w:rPr>
          <w:rFonts w:ascii="宋体" w:hAnsi="宋体" w:eastAsia="宋体"/>
          <w:b/>
          <w:sz w:val="32"/>
        </w:rPr>
        <w:t>9. 关键技术方案</w:t>
      </w:r>
    </w:p>
    <w:p w14:paraId="5F664875">
      <w:pPr>
        <w:spacing w:before="160" w:after="100"/>
      </w:pPr>
      <w:r>
        <w:rPr>
          <w:rFonts w:ascii="宋体" w:hAnsi="宋体" w:eastAsia="宋体"/>
          <w:b/>
          <w:sz w:val="24"/>
        </w:rPr>
        <w:t>9.1 邮件识别与物流发运关联方案</w:t>
      </w:r>
    </w:p>
    <w:p w14:paraId="0B53A98E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公共邮箱作为交货单与物流发运单关联关系的主要来源。系统需定时读取指定邮箱或邮箱文件夹，识别邮件主题、正文、发件人、发送时间、交货单号、物流公司和物流发运单号。</w:t>
      </w:r>
    </w:p>
    <w:p w14:paraId="77FBD8D0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邮件识别建议采用规则解析和语义识别组合方式。对于固定格式邮件可使用规则提取；对于非固定格式邮件可使用AI识别辅助提取，并返回置信度和异常提示。</w:t>
      </w:r>
    </w:p>
    <w:p w14:paraId="3D628A7B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物流发运单号以邮件为原始依据，不开放直接手工修改。若邮件信息不匹配，应通过补邮件或补充说明方式处理，保留原始邮件和操作日志。</w:t>
      </w:r>
    </w:p>
    <w:p w14:paraId="7309CC1B">
      <w:pPr>
        <w:spacing w:before="160" w:after="100"/>
      </w:pPr>
      <w:r>
        <w:rPr>
          <w:rFonts w:ascii="宋体" w:hAnsi="宋体" w:eastAsia="宋体"/>
          <w:b/>
          <w:sz w:val="24"/>
        </w:rPr>
        <w:t>9.2 物流签收/POD资料识别方案</w:t>
      </w:r>
    </w:p>
    <w:p w14:paraId="353CB205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物流签收单、POD文件和客户自提邮件确认共同构成POD资料来源。对于客户自提场景，若邮件中明确客户自提完成，可视同物流签收已确认，并保留邮件作为签收依据。</w:t>
      </w:r>
    </w:p>
    <w:p w14:paraId="0EE3E985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系统需从公共文件夹读取物流签收资料，并通过OCR/AI识别签收人、签收时间、签收状态、物流发运单号、客户或收货方等字段。识别失败或低置信度数据进入人工复核。</w:t>
      </w:r>
    </w:p>
    <w:p w14:paraId="1AEC46DB">
      <w:pPr>
        <w:spacing w:before="160" w:after="100"/>
      </w:pPr>
      <w:r>
        <w:rPr>
          <w:rFonts w:ascii="宋体" w:hAnsi="宋体" w:eastAsia="宋体"/>
          <w:b/>
          <w:sz w:val="24"/>
        </w:rPr>
        <w:t>9.3 对账单差异分析方案</w:t>
      </w:r>
    </w:p>
    <w:p w14:paraId="6374213B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对账单以SAP交货单为基础生成。CS按客户和周期筛选交货单，生成对账单后下载给客户确认；客户反馈上传后，系统将客户反馈数据与SAP交货单进行差异分析。</w:t>
      </w:r>
    </w:p>
    <w:p w14:paraId="2C4B85CC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差异分析规则包括客户一致性、交货单是否存在、数量一致性、金额一致性、已确认/未确认状态、重复反馈、缺失反馈等。差异结果进入对账单明细，并可生成或关联借贷项。</w:t>
      </w:r>
    </w:p>
    <w:p w14:paraId="3F3452DA">
      <w:pPr>
        <w:spacing w:before="160" w:after="100"/>
      </w:pPr>
      <w:r>
        <w:rPr>
          <w:rFonts w:ascii="宋体" w:hAnsi="宋体" w:eastAsia="宋体"/>
          <w:b/>
          <w:sz w:val="24"/>
        </w:rPr>
        <w:t>9.4 POD匹配与确认方案</w:t>
      </w:r>
    </w:p>
    <w:p w14:paraId="125DFD8E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POD匹配以交货单/DN为确认颗粒度。系统不要求在初版中做到行项目级确认，后续可根据客户要求扩展到行级。</w:t>
      </w:r>
    </w:p>
    <w:p w14:paraId="4E2FA4D3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POD确认前必须满足：交货单已同步；物流发运关联已建立；物流签收/POD资料有效或客户自提邮件确认有效；对账单已完成；差异借贷项已完成或不适用；用户具备POD确认权限。</w:t>
      </w:r>
    </w:p>
    <w:p w14:paraId="58D78241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POD确认后，系统生成POD确认记录和POD日志，并自动触发预制发票生成。</w:t>
      </w:r>
    </w:p>
    <w:p w14:paraId="20759586">
      <w:pPr>
        <w:spacing w:before="160" w:after="100"/>
      </w:pPr>
      <w:r>
        <w:rPr>
          <w:rFonts w:ascii="宋体" w:hAnsi="宋体" w:eastAsia="宋体"/>
          <w:b/>
          <w:sz w:val="24"/>
        </w:rPr>
        <w:t>9.5 预制发票与过账方案</w:t>
      </w:r>
    </w:p>
    <w:p w14:paraId="39E2F0F5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预制发票由POD确认后自动生成，发票过账页面只展示预制发票状态，不提供预制按钮。</w:t>
      </w:r>
    </w:p>
    <w:p w14:paraId="3E8C0CC7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财务用户在发票过账页面执行过账。过账成功后，SAP返回凭证号、会计期间、过账状态等信息，系统回写凭证表并更新综合查询。过账失败时记录SAP返回信息，并支持人工确认后重试。</w:t>
      </w:r>
    </w:p>
    <w:p w14:paraId="31B2E54B">
      <w:pPr>
        <w:spacing w:before="160" w:after="100"/>
      </w:pPr>
      <w:r>
        <w:rPr>
          <w:rFonts w:ascii="宋体" w:hAnsi="宋体" w:eastAsia="宋体"/>
          <w:b/>
          <w:sz w:val="24"/>
        </w:rPr>
        <w:t>9.6 资料预览与打印归档方案</w:t>
      </w:r>
    </w:p>
    <w:p w14:paraId="1A969133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资料预览弹窗作为公共组件，由发票过账和综合查询复用。资料范围包括SAP交货单、物流发运单邮件、物流签收/POD、客户自提邮件、对账单、客户反馈、POD日志、预制发票、过账凭证和补充资料。</w:t>
      </w:r>
    </w:p>
    <w:p w14:paraId="0873EB07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打印分为原始资料和系统生成资料。原始资料如签收单、客户反馈文件可直接打印；系统生成资料如POD日志、过账凭证需按确认样式打印。归档需记录归档人、归档时间和资料清单。</w:t>
      </w:r>
    </w:p>
    <w:p w14:paraId="3F97875D">
      <w:pPr>
        <w:spacing w:before="160" w:after="100"/>
      </w:pPr>
      <w:r>
        <w:rPr>
          <w:rFonts w:ascii="宋体" w:hAnsi="宋体" w:eastAsia="宋体"/>
          <w:b/>
          <w:sz w:val="24"/>
        </w:rPr>
        <w:t>9.7 权限与数据范围方案</w:t>
      </w:r>
    </w:p>
    <w:p w14:paraId="3D9FAE19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权限控制需要覆盖页面、按钮、字段和数据范围。首页主看板全局公开；待处理清单和操作按钮按角色过滤；金额、凭证号和过账状态等敏感字段按角色控制。</w:t>
      </w:r>
    </w:p>
    <w:p w14:paraId="391FB16A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CS负责对账和POD确认；CS经理查看全局数据和异常；物流负责物流关联和签收资料补充；财务负责过账、打印和归档；财务主管查看和导出全量数据；系统管理员维护配置和接口。</w:t>
      </w:r>
    </w:p>
    <w:p w14:paraId="7FCAD10E">
      <w:pPr>
        <w:spacing w:before="160" w:after="100"/>
      </w:pPr>
      <w:r>
        <w:rPr>
          <w:rFonts w:ascii="宋体" w:hAnsi="宋体" w:eastAsia="宋体"/>
          <w:b/>
          <w:sz w:val="24"/>
        </w:rPr>
        <w:t>9.8 接口异常与重试方案</w:t>
      </w:r>
    </w:p>
    <w:p w14:paraId="0E8B6190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SAP、公共邮箱、公共文件夹、AI识别和文件服务均需记录接口日志。日志包括请求时间、目标系统、业务对象、请求摘要、返回状态、错误信息和重试次数。</w:t>
      </w:r>
    </w:p>
    <w:p w14:paraId="234E303D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定时拉取类接口可按配置自动重试；财务过账等高风险接口不建议自动无限重试，应由财务确认后手工重试。</w:t>
      </w:r>
    </w:p>
    <w:p w14:paraId="4B8B67C5">
      <w:pPr>
        <w:spacing w:before="240" w:after="160"/>
      </w:pPr>
      <w:r>
        <w:rPr>
          <w:rFonts w:ascii="宋体" w:hAnsi="宋体" w:eastAsia="宋体"/>
          <w:b/>
          <w:sz w:val="32"/>
        </w:rPr>
        <w:t>10. 接口清单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474"/>
        <w:gridCol w:w="680"/>
        <w:gridCol w:w="1134"/>
        <w:gridCol w:w="1191"/>
        <w:gridCol w:w="1871"/>
        <w:gridCol w:w="1871"/>
      </w:tblGrid>
      <w:tr w14:paraId="2C06B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shd w:val="clear" w:color="auto" w:fill="F2F2F2"/>
            <w:vAlign w:val="top"/>
          </w:tcPr>
          <w:p w14:paraId="74E23B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1474" w:type="dxa"/>
            <w:shd w:val="clear" w:color="auto" w:fill="F2F2F2"/>
            <w:vAlign w:val="top"/>
          </w:tcPr>
          <w:p w14:paraId="7462236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接口名称</w:t>
            </w:r>
          </w:p>
        </w:tc>
        <w:tc>
          <w:tcPr>
            <w:tcW w:w="680" w:type="dxa"/>
            <w:shd w:val="clear" w:color="auto" w:fill="F2F2F2"/>
            <w:vAlign w:val="top"/>
          </w:tcPr>
          <w:p w14:paraId="32A5E4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方向</w:t>
            </w:r>
          </w:p>
        </w:tc>
        <w:tc>
          <w:tcPr>
            <w:tcW w:w="1134" w:type="dxa"/>
            <w:shd w:val="clear" w:color="auto" w:fill="F2F2F2"/>
            <w:vAlign w:val="top"/>
          </w:tcPr>
          <w:p w14:paraId="7C35C26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系统</w:t>
            </w:r>
          </w:p>
        </w:tc>
        <w:tc>
          <w:tcPr>
            <w:tcW w:w="1191" w:type="dxa"/>
            <w:shd w:val="clear" w:color="auto" w:fill="F2F2F2"/>
            <w:vAlign w:val="top"/>
          </w:tcPr>
          <w:p w14:paraId="4E821B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触发</w:t>
            </w:r>
          </w:p>
        </w:tc>
        <w:tc>
          <w:tcPr>
            <w:tcW w:w="1871" w:type="dxa"/>
            <w:shd w:val="clear" w:color="auto" w:fill="F2F2F2"/>
            <w:vAlign w:val="top"/>
          </w:tcPr>
          <w:p w14:paraId="473E0E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主要输入</w:t>
            </w:r>
          </w:p>
        </w:tc>
        <w:tc>
          <w:tcPr>
            <w:tcW w:w="1871" w:type="dxa"/>
            <w:shd w:val="clear" w:color="auto" w:fill="F2F2F2"/>
            <w:vAlign w:val="top"/>
          </w:tcPr>
          <w:p w14:paraId="1678E4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主要输出</w:t>
            </w:r>
          </w:p>
        </w:tc>
      </w:tr>
      <w:tr w14:paraId="50A99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64473B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IF001</w:t>
            </w:r>
          </w:p>
        </w:tc>
        <w:tc>
          <w:tcPr>
            <w:tcW w:w="1474" w:type="dxa"/>
            <w:vAlign w:val="top"/>
          </w:tcPr>
          <w:p w14:paraId="17414D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SAP交货单查询</w:t>
            </w:r>
          </w:p>
        </w:tc>
        <w:tc>
          <w:tcPr>
            <w:tcW w:w="680" w:type="dxa"/>
            <w:vAlign w:val="top"/>
          </w:tcPr>
          <w:p w14:paraId="048C21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入站</w:t>
            </w:r>
          </w:p>
        </w:tc>
        <w:tc>
          <w:tcPr>
            <w:tcW w:w="1134" w:type="dxa"/>
            <w:vAlign w:val="top"/>
          </w:tcPr>
          <w:p w14:paraId="00B549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 SD</w:t>
            </w:r>
          </w:p>
        </w:tc>
        <w:tc>
          <w:tcPr>
            <w:tcW w:w="1191" w:type="dxa"/>
            <w:vAlign w:val="top"/>
          </w:tcPr>
          <w:p w14:paraId="53A69E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定时/手工</w:t>
            </w:r>
          </w:p>
        </w:tc>
        <w:tc>
          <w:tcPr>
            <w:tcW w:w="1871" w:type="dxa"/>
            <w:vAlign w:val="top"/>
          </w:tcPr>
          <w:p w14:paraId="7F2F4C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客户、时间范围、销售组织、状态</w:t>
            </w:r>
          </w:p>
        </w:tc>
        <w:tc>
          <w:tcPr>
            <w:tcW w:w="1871" w:type="dxa"/>
            <w:vAlign w:val="top"/>
          </w:tcPr>
          <w:p w14:paraId="039D3F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交货单、客户、金额、明细</w:t>
            </w:r>
          </w:p>
        </w:tc>
      </w:tr>
      <w:tr w14:paraId="199F4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0D1336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IF002</w:t>
            </w:r>
          </w:p>
        </w:tc>
        <w:tc>
          <w:tcPr>
            <w:tcW w:w="1474" w:type="dxa"/>
            <w:vAlign w:val="top"/>
          </w:tcPr>
          <w:p w14:paraId="043C1F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公共邮箱读取</w:t>
            </w:r>
          </w:p>
        </w:tc>
        <w:tc>
          <w:tcPr>
            <w:tcW w:w="680" w:type="dxa"/>
            <w:vAlign w:val="top"/>
          </w:tcPr>
          <w:p w14:paraId="41C785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入站</w:t>
            </w:r>
          </w:p>
        </w:tc>
        <w:tc>
          <w:tcPr>
            <w:tcW w:w="1134" w:type="dxa"/>
            <w:vAlign w:val="top"/>
          </w:tcPr>
          <w:p w14:paraId="57F67A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邮箱系统</w:t>
            </w:r>
          </w:p>
        </w:tc>
        <w:tc>
          <w:tcPr>
            <w:tcW w:w="1191" w:type="dxa"/>
            <w:vAlign w:val="top"/>
          </w:tcPr>
          <w:p w14:paraId="2A38A3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定时/手工</w:t>
            </w:r>
          </w:p>
        </w:tc>
        <w:tc>
          <w:tcPr>
            <w:tcW w:w="1871" w:type="dxa"/>
            <w:vAlign w:val="top"/>
          </w:tcPr>
          <w:p w14:paraId="02CEA7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邮箱、文件夹、时间范围</w:t>
            </w:r>
          </w:p>
        </w:tc>
        <w:tc>
          <w:tcPr>
            <w:tcW w:w="1871" w:type="dxa"/>
            <w:vAlign w:val="top"/>
          </w:tcPr>
          <w:p w14:paraId="72F703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邮件正文、附件、发件人、时间</w:t>
            </w:r>
          </w:p>
        </w:tc>
      </w:tr>
      <w:tr w14:paraId="4517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476425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IF003</w:t>
            </w:r>
          </w:p>
        </w:tc>
        <w:tc>
          <w:tcPr>
            <w:tcW w:w="1474" w:type="dxa"/>
            <w:vAlign w:val="top"/>
          </w:tcPr>
          <w:p w14:paraId="48F1B5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公共文件夹读取</w:t>
            </w:r>
          </w:p>
        </w:tc>
        <w:tc>
          <w:tcPr>
            <w:tcW w:w="680" w:type="dxa"/>
            <w:vAlign w:val="top"/>
          </w:tcPr>
          <w:p w14:paraId="6A58DD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入站</w:t>
            </w:r>
          </w:p>
        </w:tc>
        <w:tc>
          <w:tcPr>
            <w:tcW w:w="1134" w:type="dxa"/>
            <w:vAlign w:val="top"/>
          </w:tcPr>
          <w:p w14:paraId="7563B4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文件夹/网盘</w:t>
            </w:r>
          </w:p>
        </w:tc>
        <w:tc>
          <w:tcPr>
            <w:tcW w:w="1191" w:type="dxa"/>
            <w:vAlign w:val="top"/>
          </w:tcPr>
          <w:p w14:paraId="5470DD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定时/手工</w:t>
            </w:r>
          </w:p>
        </w:tc>
        <w:tc>
          <w:tcPr>
            <w:tcW w:w="1871" w:type="dxa"/>
            <w:vAlign w:val="top"/>
          </w:tcPr>
          <w:p w14:paraId="0A83EC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目录、文件类型、时间范围</w:t>
            </w:r>
          </w:p>
        </w:tc>
        <w:tc>
          <w:tcPr>
            <w:tcW w:w="1871" w:type="dxa"/>
            <w:vAlign w:val="top"/>
          </w:tcPr>
          <w:p w14:paraId="498720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物流单、POD、客户反馈文件</w:t>
            </w:r>
          </w:p>
        </w:tc>
      </w:tr>
      <w:tr w14:paraId="2FF0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523DC5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IF004</w:t>
            </w:r>
          </w:p>
        </w:tc>
        <w:tc>
          <w:tcPr>
            <w:tcW w:w="1474" w:type="dxa"/>
            <w:vAlign w:val="top"/>
          </w:tcPr>
          <w:p w14:paraId="070CB0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文件上传与保存</w:t>
            </w:r>
          </w:p>
        </w:tc>
        <w:tc>
          <w:tcPr>
            <w:tcW w:w="680" w:type="dxa"/>
            <w:vAlign w:val="top"/>
          </w:tcPr>
          <w:p w14:paraId="2CC789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出站</w:t>
            </w:r>
          </w:p>
        </w:tc>
        <w:tc>
          <w:tcPr>
            <w:tcW w:w="1134" w:type="dxa"/>
            <w:vAlign w:val="top"/>
          </w:tcPr>
          <w:p w14:paraId="41E7F4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文件服务</w:t>
            </w:r>
          </w:p>
        </w:tc>
        <w:tc>
          <w:tcPr>
            <w:tcW w:w="1191" w:type="dxa"/>
            <w:vAlign w:val="top"/>
          </w:tcPr>
          <w:p w14:paraId="569A84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上传/拉取后</w:t>
            </w:r>
          </w:p>
        </w:tc>
        <w:tc>
          <w:tcPr>
            <w:tcW w:w="1871" w:type="dxa"/>
            <w:vAlign w:val="top"/>
          </w:tcPr>
          <w:p w14:paraId="565E3A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文件、业务对象、来源</w:t>
            </w:r>
          </w:p>
        </w:tc>
        <w:tc>
          <w:tcPr>
            <w:tcW w:w="1871" w:type="dxa"/>
            <w:vAlign w:val="top"/>
          </w:tcPr>
          <w:p w14:paraId="2EA34E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文件ID、预览地址</w:t>
            </w:r>
          </w:p>
        </w:tc>
      </w:tr>
      <w:tr w14:paraId="56F40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1516EB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IF005</w:t>
            </w:r>
          </w:p>
        </w:tc>
        <w:tc>
          <w:tcPr>
            <w:tcW w:w="1474" w:type="dxa"/>
            <w:vAlign w:val="top"/>
          </w:tcPr>
          <w:p w14:paraId="315DFF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OCR/AI识别</w:t>
            </w:r>
          </w:p>
        </w:tc>
        <w:tc>
          <w:tcPr>
            <w:tcW w:w="680" w:type="dxa"/>
            <w:vAlign w:val="top"/>
          </w:tcPr>
          <w:p w14:paraId="150541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出站/入站</w:t>
            </w:r>
          </w:p>
        </w:tc>
        <w:tc>
          <w:tcPr>
            <w:tcW w:w="1134" w:type="dxa"/>
            <w:vAlign w:val="top"/>
          </w:tcPr>
          <w:p w14:paraId="3E5FA2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AI服务</w:t>
            </w:r>
          </w:p>
        </w:tc>
        <w:tc>
          <w:tcPr>
            <w:tcW w:w="1191" w:type="dxa"/>
            <w:vAlign w:val="top"/>
          </w:tcPr>
          <w:p w14:paraId="65F433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文件入库/邮件读取后</w:t>
            </w:r>
          </w:p>
        </w:tc>
        <w:tc>
          <w:tcPr>
            <w:tcW w:w="1871" w:type="dxa"/>
            <w:vAlign w:val="top"/>
          </w:tcPr>
          <w:p w14:paraId="47394D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文件ID、邮件内容、单据类型</w:t>
            </w:r>
          </w:p>
        </w:tc>
        <w:tc>
          <w:tcPr>
            <w:tcW w:w="1871" w:type="dxa"/>
            <w:vAlign w:val="top"/>
          </w:tcPr>
          <w:p w14:paraId="3F0751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结构化字段、置信度</w:t>
            </w:r>
          </w:p>
        </w:tc>
      </w:tr>
      <w:tr w14:paraId="15C4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7FEB2B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IF006</w:t>
            </w:r>
          </w:p>
        </w:tc>
        <w:tc>
          <w:tcPr>
            <w:tcW w:w="1474" w:type="dxa"/>
            <w:vAlign w:val="top"/>
          </w:tcPr>
          <w:p w14:paraId="162CA3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SAP预制发票</w:t>
            </w:r>
          </w:p>
        </w:tc>
        <w:tc>
          <w:tcPr>
            <w:tcW w:w="680" w:type="dxa"/>
            <w:vAlign w:val="top"/>
          </w:tcPr>
          <w:p w14:paraId="123240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出站</w:t>
            </w:r>
          </w:p>
        </w:tc>
        <w:tc>
          <w:tcPr>
            <w:tcW w:w="1134" w:type="dxa"/>
            <w:vAlign w:val="top"/>
          </w:tcPr>
          <w:p w14:paraId="34C7AB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</w:t>
            </w:r>
          </w:p>
        </w:tc>
        <w:tc>
          <w:tcPr>
            <w:tcW w:w="1191" w:type="dxa"/>
            <w:vAlign w:val="top"/>
          </w:tcPr>
          <w:p w14:paraId="2CD080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POD确认后自动触发</w:t>
            </w:r>
          </w:p>
        </w:tc>
        <w:tc>
          <w:tcPr>
            <w:tcW w:w="1871" w:type="dxa"/>
            <w:vAlign w:val="top"/>
          </w:tcPr>
          <w:p w14:paraId="678381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交货单、客户、金额、POD确认</w:t>
            </w:r>
          </w:p>
        </w:tc>
        <w:tc>
          <w:tcPr>
            <w:tcW w:w="1871" w:type="dxa"/>
            <w:vAlign w:val="top"/>
          </w:tcPr>
          <w:p w14:paraId="3EE553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预制发票号、状态</w:t>
            </w:r>
          </w:p>
        </w:tc>
      </w:tr>
      <w:tr w14:paraId="3558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48EDDE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IF007</w:t>
            </w:r>
          </w:p>
        </w:tc>
        <w:tc>
          <w:tcPr>
            <w:tcW w:w="1474" w:type="dxa"/>
            <w:vAlign w:val="top"/>
          </w:tcPr>
          <w:p w14:paraId="585676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SAP发票过账</w:t>
            </w:r>
          </w:p>
        </w:tc>
        <w:tc>
          <w:tcPr>
            <w:tcW w:w="680" w:type="dxa"/>
            <w:vAlign w:val="top"/>
          </w:tcPr>
          <w:p w14:paraId="3F6D14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出站</w:t>
            </w:r>
          </w:p>
        </w:tc>
        <w:tc>
          <w:tcPr>
            <w:tcW w:w="1134" w:type="dxa"/>
            <w:vAlign w:val="top"/>
          </w:tcPr>
          <w:p w14:paraId="70B621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</w:t>
            </w:r>
          </w:p>
        </w:tc>
        <w:tc>
          <w:tcPr>
            <w:tcW w:w="1191" w:type="dxa"/>
            <w:vAlign w:val="top"/>
          </w:tcPr>
          <w:p w14:paraId="2B9356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财务手工触发</w:t>
            </w:r>
          </w:p>
        </w:tc>
        <w:tc>
          <w:tcPr>
            <w:tcW w:w="1871" w:type="dxa"/>
            <w:vAlign w:val="top"/>
          </w:tcPr>
          <w:p w14:paraId="2525A7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预制发票号、交货单</w:t>
            </w:r>
          </w:p>
        </w:tc>
        <w:tc>
          <w:tcPr>
            <w:tcW w:w="1871" w:type="dxa"/>
            <w:vAlign w:val="top"/>
          </w:tcPr>
          <w:p w14:paraId="2DE2AC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凭证号、过账状态</w:t>
            </w:r>
          </w:p>
        </w:tc>
      </w:tr>
      <w:tr w14:paraId="4B7B3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2DFA94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IF008</w:t>
            </w:r>
          </w:p>
        </w:tc>
        <w:tc>
          <w:tcPr>
            <w:tcW w:w="1474" w:type="dxa"/>
            <w:vAlign w:val="top"/>
          </w:tcPr>
          <w:p w14:paraId="5E4FEF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SAP凭证查询</w:t>
            </w:r>
          </w:p>
        </w:tc>
        <w:tc>
          <w:tcPr>
            <w:tcW w:w="680" w:type="dxa"/>
            <w:vAlign w:val="top"/>
          </w:tcPr>
          <w:p w14:paraId="1A375E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入站</w:t>
            </w:r>
          </w:p>
        </w:tc>
        <w:tc>
          <w:tcPr>
            <w:tcW w:w="1134" w:type="dxa"/>
            <w:vAlign w:val="top"/>
          </w:tcPr>
          <w:p w14:paraId="729552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</w:t>
            </w:r>
          </w:p>
        </w:tc>
        <w:tc>
          <w:tcPr>
            <w:tcW w:w="1191" w:type="dxa"/>
            <w:vAlign w:val="top"/>
          </w:tcPr>
          <w:p w14:paraId="71964C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查询/预览</w:t>
            </w:r>
          </w:p>
        </w:tc>
        <w:tc>
          <w:tcPr>
            <w:tcW w:w="1871" w:type="dxa"/>
            <w:vAlign w:val="top"/>
          </w:tcPr>
          <w:p w14:paraId="5FE55F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凭证号、交货单</w:t>
            </w:r>
          </w:p>
        </w:tc>
        <w:tc>
          <w:tcPr>
            <w:tcW w:w="1871" w:type="dxa"/>
            <w:vAlign w:val="top"/>
          </w:tcPr>
          <w:p w14:paraId="2044FC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凭证信息</w:t>
            </w:r>
          </w:p>
        </w:tc>
      </w:tr>
      <w:tr w14:paraId="77D66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270A19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IF009</w:t>
            </w:r>
          </w:p>
        </w:tc>
        <w:tc>
          <w:tcPr>
            <w:tcW w:w="1474" w:type="dxa"/>
            <w:vAlign w:val="top"/>
          </w:tcPr>
          <w:p w14:paraId="797552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借贷项处理/查询</w:t>
            </w:r>
          </w:p>
        </w:tc>
        <w:tc>
          <w:tcPr>
            <w:tcW w:w="680" w:type="dxa"/>
            <w:vAlign w:val="top"/>
          </w:tcPr>
          <w:p w14:paraId="21AF4A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出站/入站</w:t>
            </w:r>
          </w:p>
        </w:tc>
        <w:tc>
          <w:tcPr>
            <w:tcW w:w="1134" w:type="dxa"/>
            <w:vAlign w:val="top"/>
          </w:tcPr>
          <w:p w14:paraId="3B7323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SAP/财务系统</w:t>
            </w:r>
          </w:p>
        </w:tc>
        <w:tc>
          <w:tcPr>
            <w:tcW w:w="1191" w:type="dxa"/>
            <w:vAlign w:val="top"/>
          </w:tcPr>
          <w:p w14:paraId="25B150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差异处理</w:t>
            </w:r>
          </w:p>
        </w:tc>
        <w:tc>
          <w:tcPr>
            <w:tcW w:w="1871" w:type="dxa"/>
            <w:vAlign w:val="top"/>
          </w:tcPr>
          <w:p w14:paraId="58933D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对账差异、客户、金额</w:t>
            </w:r>
          </w:p>
        </w:tc>
        <w:tc>
          <w:tcPr>
            <w:tcW w:w="1871" w:type="dxa"/>
            <w:vAlign w:val="top"/>
          </w:tcPr>
          <w:p w14:paraId="4942FD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借贷项号、处理状态</w:t>
            </w:r>
          </w:p>
        </w:tc>
      </w:tr>
      <w:tr w14:paraId="684D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7F8086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IF010</w:t>
            </w:r>
          </w:p>
        </w:tc>
        <w:tc>
          <w:tcPr>
            <w:tcW w:w="1474" w:type="dxa"/>
            <w:vAlign w:val="top"/>
          </w:tcPr>
          <w:p w14:paraId="66D1C8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权限组织查询</w:t>
            </w:r>
          </w:p>
        </w:tc>
        <w:tc>
          <w:tcPr>
            <w:tcW w:w="680" w:type="dxa"/>
            <w:vAlign w:val="top"/>
          </w:tcPr>
          <w:p w14:paraId="27FC8D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入站</w:t>
            </w:r>
          </w:p>
        </w:tc>
        <w:tc>
          <w:tcPr>
            <w:tcW w:w="1134" w:type="dxa"/>
            <w:vAlign w:val="top"/>
          </w:tcPr>
          <w:p w14:paraId="715C31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AD/权限系统</w:t>
            </w:r>
          </w:p>
        </w:tc>
        <w:tc>
          <w:tcPr>
            <w:tcW w:w="1191" w:type="dxa"/>
            <w:vAlign w:val="top"/>
          </w:tcPr>
          <w:p w14:paraId="4B7EFA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登录/查询</w:t>
            </w:r>
          </w:p>
        </w:tc>
        <w:tc>
          <w:tcPr>
            <w:tcW w:w="1871" w:type="dxa"/>
            <w:vAlign w:val="top"/>
          </w:tcPr>
          <w:p w14:paraId="3ECE0D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用户ID</w:t>
            </w:r>
          </w:p>
        </w:tc>
        <w:tc>
          <w:tcPr>
            <w:tcW w:w="1871" w:type="dxa"/>
            <w:vAlign w:val="top"/>
          </w:tcPr>
          <w:p w14:paraId="6904E7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角色、数据范围</w:t>
            </w:r>
          </w:p>
        </w:tc>
      </w:tr>
      <w:tr w14:paraId="782B5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3AC4D6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IF011</w:t>
            </w:r>
          </w:p>
        </w:tc>
        <w:tc>
          <w:tcPr>
            <w:tcW w:w="1474" w:type="dxa"/>
            <w:vAlign w:val="top"/>
          </w:tcPr>
          <w:p w14:paraId="6AF441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打印服务</w:t>
            </w:r>
          </w:p>
        </w:tc>
        <w:tc>
          <w:tcPr>
            <w:tcW w:w="680" w:type="dxa"/>
            <w:vAlign w:val="top"/>
          </w:tcPr>
          <w:p w14:paraId="0E4B36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出站</w:t>
            </w:r>
          </w:p>
        </w:tc>
        <w:tc>
          <w:tcPr>
            <w:tcW w:w="1134" w:type="dxa"/>
            <w:vAlign w:val="top"/>
          </w:tcPr>
          <w:p w14:paraId="12B429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打印服务/浏览器</w:t>
            </w:r>
          </w:p>
        </w:tc>
        <w:tc>
          <w:tcPr>
            <w:tcW w:w="1191" w:type="dxa"/>
            <w:vAlign w:val="top"/>
          </w:tcPr>
          <w:p w14:paraId="4D9D6D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手工触发</w:t>
            </w:r>
          </w:p>
        </w:tc>
        <w:tc>
          <w:tcPr>
            <w:tcW w:w="1871" w:type="dxa"/>
            <w:vAlign w:val="top"/>
          </w:tcPr>
          <w:p w14:paraId="2BD848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文件ID、模板ID</w:t>
            </w:r>
          </w:p>
        </w:tc>
        <w:tc>
          <w:tcPr>
            <w:tcW w:w="1871" w:type="dxa"/>
            <w:vAlign w:val="top"/>
          </w:tcPr>
          <w:p w14:paraId="08F2D1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打印任务结果</w:t>
            </w:r>
          </w:p>
        </w:tc>
      </w:tr>
      <w:tr w14:paraId="78B6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  <w:vAlign w:val="top"/>
          </w:tcPr>
          <w:p w14:paraId="5E2861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IF012</w:t>
            </w:r>
          </w:p>
        </w:tc>
        <w:tc>
          <w:tcPr>
            <w:tcW w:w="1474" w:type="dxa"/>
            <w:vAlign w:val="top"/>
          </w:tcPr>
          <w:p w14:paraId="0709A6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消息通知</w:t>
            </w:r>
          </w:p>
        </w:tc>
        <w:tc>
          <w:tcPr>
            <w:tcW w:w="680" w:type="dxa"/>
            <w:vAlign w:val="top"/>
          </w:tcPr>
          <w:p w14:paraId="69C5C1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出站</w:t>
            </w:r>
          </w:p>
        </w:tc>
        <w:tc>
          <w:tcPr>
            <w:tcW w:w="1134" w:type="dxa"/>
            <w:vAlign w:val="top"/>
          </w:tcPr>
          <w:p w14:paraId="1AEBD1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IM/邮件</w:t>
            </w:r>
          </w:p>
        </w:tc>
        <w:tc>
          <w:tcPr>
            <w:tcW w:w="1191" w:type="dxa"/>
            <w:vAlign w:val="top"/>
          </w:tcPr>
          <w:p w14:paraId="6C07CF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异常/待办</w:t>
            </w:r>
          </w:p>
        </w:tc>
        <w:tc>
          <w:tcPr>
            <w:tcW w:w="1871" w:type="dxa"/>
            <w:vAlign w:val="top"/>
          </w:tcPr>
          <w:p w14:paraId="0523B3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用户、待办、业务对象</w:t>
            </w:r>
          </w:p>
        </w:tc>
        <w:tc>
          <w:tcPr>
            <w:tcW w:w="1871" w:type="dxa"/>
            <w:vAlign w:val="top"/>
          </w:tcPr>
          <w:p w14:paraId="53D1C9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5"/>
              </w:rPr>
              <w:t>发送结果</w:t>
            </w:r>
          </w:p>
        </w:tc>
      </w:tr>
    </w:tbl>
    <w:p w14:paraId="2A28ADC4">
      <w:pPr>
        <w:spacing w:after="40"/>
      </w:pPr>
    </w:p>
    <w:p w14:paraId="48521FC1">
      <w:pPr>
        <w:spacing w:before="240" w:after="160"/>
      </w:pPr>
      <w:r>
        <w:rPr>
          <w:rFonts w:ascii="宋体" w:hAnsi="宋体" w:eastAsia="宋体"/>
          <w:b/>
          <w:sz w:val="32"/>
        </w:rPr>
        <w:t>11. 数据对象定义</w:t>
      </w:r>
    </w:p>
    <w:p w14:paraId="76C0F917">
      <w:pPr>
        <w:spacing w:before="160" w:after="100"/>
      </w:pPr>
      <w:r>
        <w:rPr>
          <w:rFonts w:ascii="宋体" w:hAnsi="宋体" w:eastAsia="宋体"/>
          <w:b/>
          <w:sz w:val="24"/>
        </w:rPr>
        <w:t>11.1 SAP交货单 DeliveryOrder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964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55CBC0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5E8700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3A62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EE192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delivery_order_id</w:t>
            </w:r>
          </w:p>
        </w:tc>
        <w:tc>
          <w:tcPr>
            <w:tcW w:w="5669" w:type="dxa"/>
            <w:vAlign w:val="top"/>
          </w:tcPr>
          <w:p w14:paraId="6F2EE0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交货单内部ID</w:t>
            </w:r>
          </w:p>
        </w:tc>
      </w:tr>
      <w:tr w14:paraId="79B0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E57DD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delivery_no</w:t>
            </w:r>
          </w:p>
        </w:tc>
        <w:tc>
          <w:tcPr>
            <w:tcW w:w="5669" w:type="dxa"/>
            <w:vAlign w:val="top"/>
          </w:tcPr>
          <w:p w14:paraId="316382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SAP交货单号/DN</w:t>
            </w:r>
          </w:p>
        </w:tc>
      </w:tr>
      <w:tr w14:paraId="71E5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556F2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customer_code</w:t>
            </w:r>
          </w:p>
        </w:tc>
        <w:tc>
          <w:tcPr>
            <w:tcW w:w="5669" w:type="dxa"/>
            <w:vAlign w:val="top"/>
          </w:tcPr>
          <w:p w14:paraId="77DE7B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客户编码</w:t>
            </w:r>
          </w:p>
        </w:tc>
      </w:tr>
      <w:tr w14:paraId="47347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B9EDD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customer_name</w:t>
            </w:r>
          </w:p>
        </w:tc>
        <w:tc>
          <w:tcPr>
            <w:tcW w:w="5669" w:type="dxa"/>
            <w:vAlign w:val="top"/>
          </w:tcPr>
          <w:p w14:paraId="25DA05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客户名称</w:t>
            </w:r>
          </w:p>
        </w:tc>
      </w:tr>
      <w:tr w14:paraId="2D434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AEFCE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sales_org</w:t>
            </w:r>
          </w:p>
        </w:tc>
        <w:tc>
          <w:tcPr>
            <w:tcW w:w="5669" w:type="dxa"/>
            <w:vAlign w:val="top"/>
          </w:tcPr>
          <w:p w14:paraId="3E086C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销售组织</w:t>
            </w:r>
          </w:p>
        </w:tc>
      </w:tr>
      <w:tr w14:paraId="7C0F6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BC79B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delivery_date</w:t>
            </w:r>
          </w:p>
        </w:tc>
        <w:tc>
          <w:tcPr>
            <w:tcW w:w="5669" w:type="dxa"/>
            <w:vAlign w:val="top"/>
          </w:tcPr>
          <w:p w14:paraId="3BF202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交货/出库日期</w:t>
            </w:r>
          </w:p>
        </w:tc>
      </w:tr>
      <w:tr w14:paraId="5BF5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92AE8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amount</w:t>
            </w:r>
          </w:p>
        </w:tc>
        <w:tc>
          <w:tcPr>
            <w:tcW w:w="5669" w:type="dxa"/>
            <w:vAlign w:val="top"/>
          </w:tcPr>
          <w:p w14:paraId="08D224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交货金额</w:t>
            </w:r>
          </w:p>
        </w:tc>
      </w:tr>
      <w:tr w14:paraId="29499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A6D9B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currency</w:t>
            </w:r>
          </w:p>
        </w:tc>
        <w:tc>
          <w:tcPr>
            <w:tcW w:w="5669" w:type="dxa"/>
            <w:vAlign w:val="top"/>
          </w:tcPr>
          <w:p w14:paraId="61A211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币种</w:t>
            </w:r>
          </w:p>
        </w:tc>
      </w:tr>
      <w:tr w14:paraId="5DC01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B40C0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delivery_status</w:t>
            </w:r>
          </w:p>
        </w:tc>
        <w:tc>
          <w:tcPr>
            <w:tcW w:w="5669" w:type="dxa"/>
            <w:vAlign w:val="top"/>
          </w:tcPr>
          <w:p w14:paraId="79E915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交货状态</w:t>
            </w:r>
          </w:p>
        </w:tc>
      </w:tr>
      <w:tr w14:paraId="0165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23289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reconciliation_status</w:t>
            </w:r>
          </w:p>
        </w:tc>
        <w:tc>
          <w:tcPr>
            <w:tcW w:w="5669" w:type="dxa"/>
            <w:vAlign w:val="top"/>
          </w:tcPr>
          <w:p w14:paraId="4302EC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对账状态</w:t>
            </w:r>
          </w:p>
        </w:tc>
      </w:tr>
      <w:tr w14:paraId="585CC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11BDB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pod_status</w:t>
            </w:r>
          </w:p>
        </w:tc>
        <w:tc>
          <w:tcPr>
            <w:tcW w:w="5669" w:type="dxa"/>
            <w:vAlign w:val="top"/>
          </w:tcPr>
          <w:p w14:paraId="07FEAA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POD状态</w:t>
            </w:r>
          </w:p>
        </w:tc>
      </w:tr>
      <w:tr w14:paraId="3C34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9AD6A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prebill_status</w:t>
            </w:r>
          </w:p>
        </w:tc>
        <w:tc>
          <w:tcPr>
            <w:tcW w:w="5669" w:type="dxa"/>
            <w:vAlign w:val="top"/>
          </w:tcPr>
          <w:p w14:paraId="154E2B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预制发票状态</w:t>
            </w:r>
          </w:p>
        </w:tc>
      </w:tr>
      <w:tr w14:paraId="427D9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007A9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posting_status</w:t>
            </w:r>
          </w:p>
        </w:tc>
        <w:tc>
          <w:tcPr>
            <w:tcW w:w="5669" w:type="dxa"/>
            <w:vAlign w:val="top"/>
          </w:tcPr>
          <w:p w14:paraId="79D1B9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过账状态</w:t>
            </w:r>
          </w:p>
        </w:tc>
      </w:tr>
      <w:tr w14:paraId="69C65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8FA94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owner</w:t>
            </w:r>
          </w:p>
        </w:tc>
        <w:tc>
          <w:tcPr>
            <w:tcW w:w="5669" w:type="dxa"/>
            <w:vAlign w:val="top"/>
          </w:tcPr>
          <w:p w14:paraId="4DCC22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当前责任人</w:t>
            </w:r>
          </w:p>
        </w:tc>
      </w:tr>
      <w:tr w14:paraId="2E6C7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B9D4D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remark</w:t>
            </w:r>
          </w:p>
        </w:tc>
        <w:tc>
          <w:tcPr>
            <w:tcW w:w="5669" w:type="dxa"/>
            <w:vAlign w:val="top"/>
          </w:tcPr>
          <w:p w14:paraId="63234D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</w:tbl>
    <w:p w14:paraId="57D04141">
      <w:pPr>
        <w:spacing w:after="40"/>
      </w:pPr>
    </w:p>
    <w:p w14:paraId="5C8E9B8A">
      <w:pPr>
        <w:spacing w:before="160" w:after="100"/>
      </w:pPr>
      <w:r>
        <w:rPr>
          <w:rFonts w:ascii="宋体" w:hAnsi="宋体" w:eastAsia="宋体"/>
          <w:b/>
          <w:sz w:val="24"/>
        </w:rPr>
        <w:t>11.2 物流发运关联 ShipmentRelation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173A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4F96ED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193D6F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42AFD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D41EC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shipment_relation_id</w:t>
            </w:r>
          </w:p>
        </w:tc>
        <w:tc>
          <w:tcPr>
            <w:tcW w:w="5669" w:type="dxa"/>
            <w:vAlign w:val="top"/>
          </w:tcPr>
          <w:p w14:paraId="70A759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关联ID</w:t>
            </w:r>
          </w:p>
        </w:tc>
      </w:tr>
      <w:tr w14:paraId="5717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8A7B2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delivery_no</w:t>
            </w:r>
          </w:p>
        </w:tc>
        <w:tc>
          <w:tcPr>
            <w:tcW w:w="5669" w:type="dxa"/>
            <w:vAlign w:val="top"/>
          </w:tcPr>
          <w:p w14:paraId="3E0FF0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交货单号</w:t>
            </w:r>
          </w:p>
        </w:tc>
      </w:tr>
      <w:tr w14:paraId="2626D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0786ED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carrier_name</w:t>
            </w:r>
          </w:p>
        </w:tc>
        <w:tc>
          <w:tcPr>
            <w:tcW w:w="5669" w:type="dxa"/>
            <w:vAlign w:val="top"/>
          </w:tcPr>
          <w:p w14:paraId="59F523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物流公司/承运商</w:t>
            </w:r>
          </w:p>
        </w:tc>
      </w:tr>
      <w:tr w14:paraId="0CE1F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FCD63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shipment_no</w:t>
            </w:r>
          </w:p>
        </w:tc>
        <w:tc>
          <w:tcPr>
            <w:tcW w:w="5669" w:type="dxa"/>
            <w:vAlign w:val="top"/>
          </w:tcPr>
          <w:p w14:paraId="68972B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物流发运单号</w:t>
            </w:r>
          </w:p>
        </w:tc>
      </w:tr>
      <w:tr w14:paraId="64386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323A3B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source_type</w:t>
            </w:r>
          </w:p>
        </w:tc>
        <w:tc>
          <w:tcPr>
            <w:tcW w:w="5669" w:type="dxa"/>
            <w:vAlign w:val="top"/>
          </w:tcPr>
          <w:p w14:paraId="1CC3AF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来源：公共邮箱、手工补充说明</w:t>
            </w:r>
          </w:p>
        </w:tc>
      </w:tr>
      <w:tr w14:paraId="6A60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19C3D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mail_id</w:t>
            </w:r>
          </w:p>
        </w:tc>
        <w:tc>
          <w:tcPr>
            <w:tcW w:w="5669" w:type="dxa"/>
            <w:vAlign w:val="top"/>
          </w:tcPr>
          <w:p w14:paraId="5739CB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关联邮件ID</w:t>
            </w:r>
          </w:p>
        </w:tc>
      </w:tr>
      <w:tr w14:paraId="0FA6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C4EB2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relation_status</w:t>
            </w:r>
          </w:p>
        </w:tc>
        <w:tc>
          <w:tcPr>
            <w:tcW w:w="5669" w:type="dxa"/>
            <w:vAlign w:val="top"/>
          </w:tcPr>
          <w:p w14:paraId="0BF7EB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关联状态</w:t>
            </w:r>
          </w:p>
        </w:tc>
      </w:tr>
      <w:tr w14:paraId="2D7B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296E6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is_manual_modified</w:t>
            </w:r>
          </w:p>
        </w:tc>
        <w:tc>
          <w:tcPr>
            <w:tcW w:w="5669" w:type="dxa"/>
            <w:vAlign w:val="top"/>
          </w:tcPr>
          <w:p w14:paraId="536696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是否手工修改，原则上为否</w:t>
            </w:r>
          </w:p>
        </w:tc>
      </w:tr>
      <w:tr w14:paraId="0F68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48A705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remark</w:t>
            </w:r>
          </w:p>
        </w:tc>
        <w:tc>
          <w:tcPr>
            <w:tcW w:w="5669" w:type="dxa"/>
            <w:vAlign w:val="top"/>
          </w:tcPr>
          <w:p w14:paraId="48C916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</w:tbl>
    <w:p w14:paraId="1F8296EE">
      <w:pPr>
        <w:spacing w:after="40"/>
      </w:pPr>
    </w:p>
    <w:p w14:paraId="74A036D1">
      <w:pPr>
        <w:spacing w:before="160" w:after="100"/>
      </w:pPr>
      <w:r>
        <w:rPr>
          <w:rFonts w:ascii="宋体" w:hAnsi="宋体" w:eastAsia="宋体"/>
          <w:b/>
          <w:sz w:val="24"/>
        </w:rPr>
        <w:t>11.3 POD资料 PODDocument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E03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4CFF33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7E0C77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77E00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F66CE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pod_document_id</w:t>
            </w:r>
          </w:p>
        </w:tc>
        <w:tc>
          <w:tcPr>
            <w:tcW w:w="5669" w:type="dxa"/>
            <w:vAlign w:val="top"/>
          </w:tcPr>
          <w:p w14:paraId="57D6F8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POD资料ID</w:t>
            </w:r>
          </w:p>
        </w:tc>
      </w:tr>
      <w:tr w14:paraId="42B1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F7233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delivery_no</w:t>
            </w:r>
          </w:p>
        </w:tc>
        <w:tc>
          <w:tcPr>
            <w:tcW w:w="5669" w:type="dxa"/>
            <w:vAlign w:val="top"/>
          </w:tcPr>
          <w:p w14:paraId="52BE1A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交货单号</w:t>
            </w:r>
          </w:p>
        </w:tc>
      </w:tr>
      <w:tr w14:paraId="13EE9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5B80D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shipment_no</w:t>
            </w:r>
          </w:p>
        </w:tc>
        <w:tc>
          <w:tcPr>
            <w:tcW w:w="5669" w:type="dxa"/>
            <w:vAlign w:val="top"/>
          </w:tcPr>
          <w:p w14:paraId="19EEF2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物流发运单号</w:t>
            </w:r>
          </w:p>
        </w:tc>
      </w:tr>
      <w:tr w14:paraId="3D90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E571D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document_type</w:t>
            </w:r>
          </w:p>
        </w:tc>
        <w:tc>
          <w:tcPr>
            <w:tcW w:w="5669" w:type="dxa"/>
            <w:vAlign w:val="top"/>
          </w:tcPr>
          <w:p w14:paraId="2BBC76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物流签收单、POD、客户自提邮件</w:t>
            </w:r>
          </w:p>
        </w:tc>
      </w:tr>
      <w:tr w14:paraId="3751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A465C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file_id</w:t>
            </w:r>
          </w:p>
        </w:tc>
        <w:tc>
          <w:tcPr>
            <w:tcW w:w="5669" w:type="dxa"/>
            <w:vAlign w:val="top"/>
          </w:tcPr>
          <w:p w14:paraId="7E9154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文件ID</w:t>
            </w:r>
          </w:p>
        </w:tc>
      </w:tr>
      <w:tr w14:paraId="64AD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12DF1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sign_status</w:t>
            </w:r>
          </w:p>
        </w:tc>
        <w:tc>
          <w:tcPr>
            <w:tcW w:w="5669" w:type="dxa"/>
            <w:vAlign w:val="top"/>
          </w:tcPr>
          <w:p w14:paraId="26A60C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签收状态</w:t>
            </w:r>
          </w:p>
        </w:tc>
      </w:tr>
      <w:tr w14:paraId="2492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9B192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sign_person</w:t>
            </w:r>
          </w:p>
        </w:tc>
        <w:tc>
          <w:tcPr>
            <w:tcW w:w="5669" w:type="dxa"/>
            <w:vAlign w:val="top"/>
          </w:tcPr>
          <w:p w14:paraId="6962D7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签收人</w:t>
            </w:r>
          </w:p>
        </w:tc>
      </w:tr>
      <w:tr w14:paraId="2503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7F037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sign_time</w:t>
            </w:r>
          </w:p>
        </w:tc>
        <w:tc>
          <w:tcPr>
            <w:tcW w:w="5669" w:type="dxa"/>
            <w:vAlign w:val="top"/>
          </w:tcPr>
          <w:p w14:paraId="051D2D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签收时间</w:t>
            </w:r>
          </w:p>
        </w:tc>
      </w:tr>
      <w:tr w14:paraId="5F46F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02D86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recognition_status</w:t>
            </w:r>
          </w:p>
        </w:tc>
        <w:tc>
          <w:tcPr>
            <w:tcW w:w="5669" w:type="dxa"/>
            <w:vAlign w:val="top"/>
          </w:tcPr>
          <w:p w14:paraId="197995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识别状态</w:t>
            </w:r>
          </w:p>
        </w:tc>
      </w:tr>
      <w:tr w14:paraId="2D1F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FD5CF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confidence</w:t>
            </w:r>
          </w:p>
        </w:tc>
        <w:tc>
          <w:tcPr>
            <w:tcW w:w="5669" w:type="dxa"/>
            <w:vAlign w:val="top"/>
          </w:tcPr>
          <w:p w14:paraId="17910A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识别置信度</w:t>
            </w:r>
          </w:p>
        </w:tc>
      </w:tr>
      <w:tr w14:paraId="2BDA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5DC904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remark</w:t>
            </w:r>
          </w:p>
        </w:tc>
        <w:tc>
          <w:tcPr>
            <w:tcW w:w="5669" w:type="dxa"/>
            <w:vAlign w:val="top"/>
          </w:tcPr>
          <w:p w14:paraId="347244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</w:tbl>
    <w:p w14:paraId="547BC3D5">
      <w:pPr>
        <w:spacing w:after="40"/>
      </w:pPr>
    </w:p>
    <w:p w14:paraId="5713DBE1">
      <w:pPr>
        <w:spacing w:before="160" w:after="100"/>
      </w:pPr>
      <w:r>
        <w:rPr>
          <w:rFonts w:ascii="宋体" w:hAnsi="宋体" w:eastAsia="宋体"/>
          <w:b/>
          <w:sz w:val="24"/>
        </w:rPr>
        <w:t>11.4 对账单 ReconciliationStatement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7E9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49083A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52A87A6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8D1E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C9197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statement_id</w:t>
            </w:r>
          </w:p>
        </w:tc>
        <w:tc>
          <w:tcPr>
            <w:tcW w:w="5669" w:type="dxa"/>
            <w:vAlign w:val="top"/>
          </w:tcPr>
          <w:p w14:paraId="3A8526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对账单ID</w:t>
            </w:r>
          </w:p>
        </w:tc>
      </w:tr>
      <w:tr w14:paraId="691F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4648C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statement_no</w:t>
            </w:r>
          </w:p>
        </w:tc>
        <w:tc>
          <w:tcPr>
            <w:tcW w:w="5669" w:type="dxa"/>
            <w:vAlign w:val="top"/>
          </w:tcPr>
          <w:p w14:paraId="3D2983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对账单号</w:t>
            </w:r>
          </w:p>
        </w:tc>
      </w:tr>
      <w:tr w14:paraId="2C031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DC451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customer_code</w:t>
            </w:r>
          </w:p>
        </w:tc>
        <w:tc>
          <w:tcPr>
            <w:tcW w:w="5669" w:type="dxa"/>
            <w:vAlign w:val="top"/>
          </w:tcPr>
          <w:p w14:paraId="0B21F9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客户编码</w:t>
            </w:r>
          </w:p>
        </w:tc>
      </w:tr>
      <w:tr w14:paraId="41FE3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BA046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customer_name</w:t>
            </w:r>
          </w:p>
        </w:tc>
        <w:tc>
          <w:tcPr>
            <w:tcW w:w="5669" w:type="dxa"/>
            <w:vAlign w:val="top"/>
          </w:tcPr>
          <w:p w14:paraId="5C5802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客户名称</w:t>
            </w:r>
          </w:p>
        </w:tc>
      </w:tr>
      <w:tr w14:paraId="097B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B4B9D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period_from</w:t>
            </w:r>
          </w:p>
        </w:tc>
        <w:tc>
          <w:tcPr>
            <w:tcW w:w="5669" w:type="dxa"/>
            <w:vAlign w:val="top"/>
          </w:tcPr>
          <w:p w14:paraId="5D1D0A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对账周期开始</w:t>
            </w:r>
          </w:p>
        </w:tc>
      </w:tr>
      <w:tr w14:paraId="1DBC1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5EBF5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period_to</w:t>
            </w:r>
          </w:p>
        </w:tc>
        <w:tc>
          <w:tcPr>
            <w:tcW w:w="5669" w:type="dxa"/>
            <w:vAlign w:val="top"/>
          </w:tcPr>
          <w:p w14:paraId="10ABF7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对账周期结束</w:t>
            </w:r>
          </w:p>
        </w:tc>
      </w:tr>
      <w:tr w14:paraId="3A1A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AFDF8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download_status</w:t>
            </w:r>
          </w:p>
        </w:tc>
        <w:tc>
          <w:tcPr>
            <w:tcW w:w="5669" w:type="dxa"/>
            <w:vAlign w:val="top"/>
          </w:tcPr>
          <w:p w14:paraId="3C3F5F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下载状态</w:t>
            </w:r>
          </w:p>
        </w:tc>
      </w:tr>
      <w:tr w14:paraId="5BC9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D9C01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feedback_status</w:t>
            </w:r>
          </w:p>
        </w:tc>
        <w:tc>
          <w:tcPr>
            <w:tcW w:w="5669" w:type="dxa"/>
            <w:vAlign w:val="top"/>
          </w:tcPr>
          <w:p w14:paraId="256F57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客户反馈状态</w:t>
            </w:r>
          </w:p>
        </w:tc>
      </w:tr>
      <w:tr w14:paraId="266D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8B608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difference_status</w:t>
            </w:r>
          </w:p>
        </w:tc>
        <w:tc>
          <w:tcPr>
            <w:tcW w:w="5669" w:type="dxa"/>
            <w:vAlign w:val="top"/>
          </w:tcPr>
          <w:p w14:paraId="5A3FFC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差异状态</w:t>
            </w:r>
          </w:p>
        </w:tc>
      </w:tr>
      <w:tr w14:paraId="44FD7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33979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credit_debit_status</w:t>
            </w:r>
          </w:p>
        </w:tc>
        <w:tc>
          <w:tcPr>
            <w:tcW w:w="5669" w:type="dxa"/>
            <w:vAlign w:val="top"/>
          </w:tcPr>
          <w:p w14:paraId="48BACB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借贷项状态</w:t>
            </w:r>
          </w:p>
        </w:tc>
      </w:tr>
      <w:tr w14:paraId="30A2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3B34C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statement_status</w:t>
            </w:r>
          </w:p>
        </w:tc>
        <w:tc>
          <w:tcPr>
            <w:tcW w:w="5669" w:type="dxa"/>
            <w:vAlign w:val="top"/>
          </w:tcPr>
          <w:p w14:paraId="060E55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对账状态</w:t>
            </w:r>
          </w:p>
        </w:tc>
      </w:tr>
      <w:tr w14:paraId="34E9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DF471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created_by</w:t>
            </w:r>
          </w:p>
        </w:tc>
        <w:tc>
          <w:tcPr>
            <w:tcW w:w="5669" w:type="dxa"/>
            <w:vAlign w:val="top"/>
          </w:tcPr>
          <w:p w14:paraId="50C06D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创建人</w:t>
            </w:r>
          </w:p>
        </w:tc>
      </w:tr>
      <w:tr w14:paraId="33C2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BA356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created_time</w:t>
            </w:r>
          </w:p>
        </w:tc>
        <w:tc>
          <w:tcPr>
            <w:tcW w:w="5669" w:type="dxa"/>
            <w:vAlign w:val="top"/>
          </w:tcPr>
          <w:p w14:paraId="54D920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创建时间</w:t>
            </w:r>
          </w:p>
        </w:tc>
      </w:tr>
    </w:tbl>
    <w:p w14:paraId="3AEAAADC">
      <w:pPr>
        <w:spacing w:after="40"/>
      </w:pPr>
    </w:p>
    <w:p w14:paraId="0CACE9C5">
      <w:pPr>
        <w:spacing w:before="160" w:after="100"/>
      </w:pPr>
      <w:r>
        <w:rPr>
          <w:rFonts w:ascii="宋体" w:hAnsi="宋体" w:eastAsia="宋体"/>
          <w:b/>
          <w:sz w:val="24"/>
        </w:rPr>
        <w:t>11.5 对账单明细 ReconciliationLine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04E27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74872F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61367C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5198C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3E496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statement_line_id</w:t>
            </w:r>
          </w:p>
        </w:tc>
        <w:tc>
          <w:tcPr>
            <w:tcW w:w="5669" w:type="dxa"/>
            <w:vAlign w:val="top"/>
          </w:tcPr>
          <w:p w14:paraId="5E17A9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对账单明细ID</w:t>
            </w:r>
          </w:p>
        </w:tc>
      </w:tr>
      <w:tr w14:paraId="79BBC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2ECAB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statement_id</w:t>
            </w:r>
          </w:p>
        </w:tc>
        <w:tc>
          <w:tcPr>
            <w:tcW w:w="5669" w:type="dxa"/>
            <w:vAlign w:val="top"/>
          </w:tcPr>
          <w:p w14:paraId="14D9D5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对账单ID</w:t>
            </w:r>
          </w:p>
        </w:tc>
      </w:tr>
      <w:tr w14:paraId="269D7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34A7D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delivery_no</w:t>
            </w:r>
          </w:p>
        </w:tc>
        <w:tc>
          <w:tcPr>
            <w:tcW w:w="5669" w:type="dxa"/>
            <w:vAlign w:val="top"/>
          </w:tcPr>
          <w:p w14:paraId="419611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交货单号</w:t>
            </w:r>
          </w:p>
        </w:tc>
      </w:tr>
      <w:tr w14:paraId="594C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68DED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sap_quantity</w:t>
            </w:r>
          </w:p>
        </w:tc>
        <w:tc>
          <w:tcPr>
            <w:tcW w:w="5669" w:type="dxa"/>
            <w:vAlign w:val="top"/>
          </w:tcPr>
          <w:p w14:paraId="4585FA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SAP数量</w:t>
            </w:r>
          </w:p>
        </w:tc>
      </w:tr>
      <w:tr w14:paraId="0688F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AE335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customer_quantity</w:t>
            </w:r>
          </w:p>
        </w:tc>
        <w:tc>
          <w:tcPr>
            <w:tcW w:w="5669" w:type="dxa"/>
            <w:vAlign w:val="top"/>
          </w:tcPr>
          <w:p w14:paraId="7A43CA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客户确认数量</w:t>
            </w:r>
          </w:p>
        </w:tc>
      </w:tr>
      <w:tr w14:paraId="0A0A0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95281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sap_amount</w:t>
            </w:r>
          </w:p>
        </w:tc>
        <w:tc>
          <w:tcPr>
            <w:tcW w:w="5669" w:type="dxa"/>
            <w:vAlign w:val="top"/>
          </w:tcPr>
          <w:p w14:paraId="03BC31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SAP金额</w:t>
            </w:r>
          </w:p>
        </w:tc>
      </w:tr>
      <w:tr w14:paraId="26DC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40270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customer_amount</w:t>
            </w:r>
          </w:p>
        </w:tc>
        <w:tc>
          <w:tcPr>
            <w:tcW w:w="5669" w:type="dxa"/>
            <w:vAlign w:val="top"/>
          </w:tcPr>
          <w:p w14:paraId="07605D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客户确认金额</w:t>
            </w:r>
          </w:p>
        </w:tc>
      </w:tr>
      <w:tr w14:paraId="56EEE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3DC5F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difference_type</w:t>
            </w:r>
          </w:p>
        </w:tc>
        <w:tc>
          <w:tcPr>
            <w:tcW w:w="5669" w:type="dxa"/>
            <w:vAlign w:val="top"/>
          </w:tcPr>
          <w:p w14:paraId="428776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差异类型</w:t>
            </w:r>
          </w:p>
        </w:tc>
      </w:tr>
      <w:tr w14:paraId="21A9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740D62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difference_amount</w:t>
            </w:r>
          </w:p>
        </w:tc>
        <w:tc>
          <w:tcPr>
            <w:tcW w:w="5669" w:type="dxa"/>
            <w:vAlign w:val="top"/>
          </w:tcPr>
          <w:p w14:paraId="35EF84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差异金额</w:t>
            </w:r>
          </w:p>
        </w:tc>
      </w:tr>
      <w:tr w14:paraId="7F29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19438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line_status</w:t>
            </w:r>
          </w:p>
        </w:tc>
        <w:tc>
          <w:tcPr>
            <w:tcW w:w="5669" w:type="dxa"/>
            <w:vAlign w:val="top"/>
          </w:tcPr>
          <w:p w14:paraId="68A873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明细状态</w:t>
            </w:r>
          </w:p>
        </w:tc>
      </w:tr>
      <w:tr w14:paraId="5245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AE239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remark</w:t>
            </w:r>
          </w:p>
        </w:tc>
        <w:tc>
          <w:tcPr>
            <w:tcW w:w="5669" w:type="dxa"/>
            <w:vAlign w:val="top"/>
          </w:tcPr>
          <w:p w14:paraId="1890D9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</w:tbl>
    <w:p w14:paraId="2C9EF542">
      <w:pPr>
        <w:spacing w:after="40"/>
      </w:pPr>
    </w:p>
    <w:p w14:paraId="494079CE">
      <w:pPr>
        <w:spacing w:before="160" w:after="100"/>
      </w:pPr>
      <w:r>
        <w:rPr>
          <w:rFonts w:ascii="宋体" w:hAnsi="宋体" w:eastAsia="宋体"/>
          <w:b/>
          <w:sz w:val="24"/>
        </w:rPr>
        <w:t>11.6 借贷项 CreditDebitItem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319E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45AC1C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1D7F75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1EA57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8AE24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credit_debit_id</w:t>
            </w:r>
          </w:p>
        </w:tc>
        <w:tc>
          <w:tcPr>
            <w:tcW w:w="5669" w:type="dxa"/>
            <w:vAlign w:val="top"/>
          </w:tcPr>
          <w:p w14:paraId="4671E6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借贷项ID</w:t>
            </w:r>
          </w:p>
        </w:tc>
      </w:tr>
      <w:tr w14:paraId="101B1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7EEBE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statement_id</w:t>
            </w:r>
          </w:p>
        </w:tc>
        <w:tc>
          <w:tcPr>
            <w:tcW w:w="5669" w:type="dxa"/>
            <w:vAlign w:val="top"/>
          </w:tcPr>
          <w:p w14:paraId="5298CF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对账单ID</w:t>
            </w:r>
          </w:p>
        </w:tc>
      </w:tr>
      <w:tr w14:paraId="3877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0BB21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delivery_no</w:t>
            </w:r>
          </w:p>
        </w:tc>
        <w:tc>
          <w:tcPr>
            <w:tcW w:w="5669" w:type="dxa"/>
            <w:vAlign w:val="top"/>
          </w:tcPr>
          <w:p w14:paraId="34BFE3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交货单号</w:t>
            </w:r>
          </w:p>
        </w:tc>
      </w:tr>
      <w:tr w14:paraId="47C3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D5014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item_type</w:t>
            </w:r>
          </w:p>
        </w:tc>
        <w:tc>
          <w:tcPr>
            <w:tcW w:w="5669" w:type="dxa"/>
            <w:vAlign w:val="top"/>
          </w:tcPr>
          <w:p w14:paraId="5E4FC7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借项或贷项</w:t>
            </w:r>
          </w:p>
        </w:tc>
      </w:tr>
      <w:tr w14:paraId="4426E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C97B4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amount</w:t>
            </w:r>
          </w:p>
        </w:tc>
        <w:tc>
          <w:tcPr>
            <w:tcW w:w="5669" w:type="dxa"/>
            <w:vAlign w:val="top"/>
          </w:tcPr>
          <w:p w14:paraId="59EE94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金额</w:t>
            </w:r>
          </w:p>
        </w:tc>
      </w:tr>
      <w:tr w14:paraId="4458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E2BB8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reason</w:t>
            </w:r>
          </w:p>
        </w:tc>
        <w:tc>
          <w:tcPr>
            <w:tcW w:w="5669" w:type="dxa"/>
            <w:vAlign w:val="top"/>
          </w:tcPr>
          <w:p w14:paraId="40C157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原因</w:t>
            </w:r>
          </w:p>
        </w:tc>
      </w:tr>
      <w:tr w14:paraId="06C85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81358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sap_item_no</w:t>
            </w:r>
          </w:p>
        </w:tc>
        <w:tc>
          <w:tcPr>
            <w:tcW w:w="5669" w:type="dxa"/>
            <w:vAlign w:val="top"/>
          </w:tcPr>
          <w:p w14:paraId="64F19D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SAP借贷项单号</w:t>
            </w:r>
          </w:p>
        </w:tc>
      </w:tr>
      <w:tr w14:paraId="14D0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D7C4B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posting_status</w:t>
            </w:r>
          </w:p>
        </w:tc>
        <w:tc>
          <w:tcPr>
            <w:tcW w:w="5669" w:type="dxa"/>
            <w:vAlign w:val="top"/>
          </w:tcPr>
          <w:p w14:paraId="7348DD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借贷项过账状态</w:t>
            </w:r>
          </w:p>
        </w:tc>
      </w:tr>
      <w:tr w14:paraId="21184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2A535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created_by</w:t>
            </w:r>
          </w:p>
        </w:tc>
        <w:tc>
          <w:tcPr>
            <w:tcW w:w="5669" w:type="dxa"/>
            <w:vAlign w:val="top"/>
          </w:tcPr>
          <w:p w14:paraId="5197AA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创建人</w:t>
            </w:r>
          </w:p>
        </w:tc>
      </w:tr>
      <w:tr w14:paraId="601BB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5883C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created_time</w:t>
            </w:r>
          </w:p>
        </w:tc>
        <w:tc>
          <w:tcPr>
            <w:tcW w:w="5669" w:type="dxa"/>
            <w:vAlign w:val="top"/>
          </w:tcPr>
          <w:p w14:paraId="5A7015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创建时间</w:t>
            </w:r>
          </w:p>
        </w:tc>
      </w:tr>
    </w:tbl>
    <w:p w14:paraId="24245F9A">
      <w:pPr>
        <w:spacing w:after="40"/>
      </w:pPr>
    </w:p>
    <w:p w14:paraId="09B3219E">
      <w:pPr>
        <w:spacing w:before="160" w:after="100"/>
      </w:pPr>
      <w:r>
        <w:rPr>
          <w:rFonts w:ascii="宋体" w:hAnsi="宋体" w:eastAsia="宋体"/>
          <w:b/>
          <w:sz w:val="24"/>
        </w:rPr>
        <w:t>11.7 POD确认 PODConfirmation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2EAAB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54651E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31E861D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2052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65C0F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pod_confirmation_id</w:t>
            </w:r>
          </w:p>
        </w:tc>
        <w:tc>
          <w:tcPr>
            <w:tcW w:w="5669" w:type="dxa"/>
            <w:vAlign w:val="top"/>
          </w:tcPr>
          <w:p w14:paraId="2E3283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POD确认ID</w:t>
            </w:r>
          </w:p>
        </w:tc>
      </w:tr>
      <w:tr w14:paraId="5714F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B753C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delivery_no</w:t>
            </w:r>
          </w:p>
        </w:tc>
        <w:tc>
          <w:tcPr>
            <w:tcW w:w="5669" w:type="dxa"/>
            <w:vAlign w:val="top"/>
          </w:tcPr>
          <w:p w14:paraId="26AEC4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交货单号</w:t>
            </w:r>
          </w:p>
        </w:tc>
      </w:tr>
      <w:tr w14:paraId="7A346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5FD1B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statement_no</w:t>
            </w:r>
          </w:p>
        </w:tc>
        <w:tc>
          <w:tcPr>
            <w:tcW w:w="5669" w:type="dxa"/>
            <w:vAlign w:val="top"/>
          </w:tcPr>
          <w:p w14:paraId="366C43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对账单号</w:t>
            </w:r>
          </w:p>
        </w:tc>
      </w:tr>
      <w:tr w14:paraId="51F6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BB372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confirmation_status</w:t>
            </w:r>
          </w:p>
        </w:tc>
        <w:tc>
          <w:tcPr>
            <w:tcW w:w="5669" w:type="dxa"/>
            <w:vAlign w:val="top"/>
          </w:tcPr>
          <w:p w14:paraId="4ABD00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POD确认状态</w:t>
            </w:r>
          </w:p>
        </w:tc>
      </w:tr>
      <w:tr w14:paraId="27B79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8305E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confirmation_time</w:t>
            </w:r>
          </w:p>
        </w:tc>
        <w:tc>
          <w:tcPr>
            <w:tcW w:w="5669" w:type="dxa"/>
            <w:vAlign w:val="top"/>
          </w:tcPr>
          <w:p w14:paraId="0526BA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确认时间</w:t>
            </w:r>
          </w:p>
        </w:tc>
      </w:tr>
      <w:tr w14:paraId="1835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314CD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confirmed_by</w:t>
            </w:r>
          </w:p>
        </w:tc>
        <w:tc>
          <w:tcPr>
            <w:tcW w:w="5669" w:type="dxa"/>
            <w:vAlign w:val="top"/>
          </w:tcPr>
          <w:p w14:paraId="2AB70D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确认人</w:t>
            </w:r>
          </w:p>
        </w:tc>
      </w:tr>
      <w:tr w14:paraId="77FA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7209D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pod_log_no</w:t>
            </w:r>
          </w:p>
        </w:tc>
        <w:tc>
          <w:tcPr>
            <w:tcW w:w="5669" w:type="dxa"/>
            <w:vAlign w:val="top"/>
          </w:tcPr>
          <w:p w14:paraId="22A997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POD日志号</w:t>
            </w:r>
          </w:p>
        </w:tc>
      </w:tr>
      <w:tr w14:paraId="4633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D7D74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prebill_no</w:t>
            </w:r>
          </w:p>
        </w:tc>
        <w:tc>
          <w:tcPr>
            <w:tcW w:w="5669" w:type="dxa"/>
            <w:vAlign w:val="top"/>
          </w:tcPr>
          <w:p w14:paraId="22DBA2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预制发票号</w:t>
            </w:r>
          </w:p>
        </w:tc>
      </w:tr>
      <w:tr w14:paraId="10CC0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631E01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remark</w:t>
            </w:r>
          </w:p>
        </w:tc>
        <w:tc>
          <w:tcPr>
            <w:tcW w:w="5669" w:type="dxa"/>
            <w:vAlign w:val="top"/>
          </w:tcPr>
          <w:p w14:paraId="12EFC8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备注</w:t>
            </w:r>
          </w:p>
        </w:tc>
      </w:tr>
    </w:tbl>
    <w:p w14:paraId="4AE34780">
      <w:pPr>
        <w:spacing w:after="40"/>
      </w:pPr>
    </w:p>
    <w:p w14:paraId="2D5EBDAD">
      <w:pPr>
        <w:spacing w:before="160" w:after="100"/>
      </w:pPr>
      <w:r>
        <w:rPr>
          <w:rFonts w:ascii="宋体" w:hAnsi="宋体" w:eastAsia="宋体"/>
          <w:b/>
          <w:sz w:val="24"/>
        </w:rPr>
        <w:t>11.8 过账凭证 AccountingVoucher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59F34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1C7605A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244C7DA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A2B1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DCD38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voucher_id</w:t>
            </w:r>
          </w:p>
        </w:tc>
        <w:tc>
          <w:tcPr>
            <w:tcW w:w="5669" w:type="dxa"/>
            <w:vAlign w:val="top"/>
          </w:tcPr>
          <w:p w14:paraId="52F079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凭证ID</w:t>
            </w:r>
          </w:p>
        </w:tc>
      </w:tr>
      <w:tr w14:paraId="7A9C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224925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delivery_no</w:t>
            </w:r>
          </w:p>
        </w:tc>
        <w:tc>
          <w:tcPr>
            <w:tcW w:w="5669" w:type="dxa"/>
            <w:vAlign w:val="top"/>
          </w:tcPr>
          <w:p w14:paraId="297B4A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交货单号</w:t>
            </w:r>
          </w:p>
        </w:tc>
      </w:tr>
      <w:tr w14:paraId="4B1E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6D6093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prebill_no</w:t>
            </w:r>
          </w:p>
        </w:tc>
        <w:tc>
          <w:tcPr>
            <w:tcW w:w="5669" w:type="dxa"/>
            <w:vAlign w:val="top"/>
          </w:tcPr>
          <w:p w14:paraId="14B91F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预制发票号</w:t>
            </w:r>
          </w:p>
        </w:tc>
      </w:tr>
      <w:tr w14:paraId="3CB4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E35D8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voucher_no</w:t>
            </w:r>
          </w:p>
        </w:tc>
        <w:tc>
          <w:tcPr>
            <w:tcW w:w="5669" w:type="dxa"/>
            <w:vAlign w:val="top"/>
          </w:tcPr>
          <w:p w14:paraId="17E1B5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会计凭证号</w:t>
            </w:r>
          </w:p>
        </w:tc>
      </w:tr>
      <w:tr w14:paraId="0D6A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2B64D3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posting_status</w:t>
            </w:r>
          </w:p>
        </w:tc>
        <w:tc>
          <w:tcPr>
            <w:tcW w:w="5669" w:type="dxa"/>
            <w:vAlign w:val="top"/>
          </w:tcPr>
          <w:p w14:paraId="708CBD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过账状态</w:t>
            </w:r>
          </w:p>
        </w:tc>
      </w:tr>
      <w:tr w14:paraId="01C6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55EF37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posting_time</w:t>
            </w:r>
          </w:p>
        </w:tc>
        <w:tc>
          <w:tcPr>
            <w:tcW w:w="5669" w:type="dxa"/>
            <w:vAlign w:val="top"/>
          </w:tcPr>
          <w:p w14:paraId="5D0B5C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过账时间</w:t>
            </w:r>
          </w:p>
        </w:tc>
      </w:tr>
      <w:tr w14:paraId="5A4E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19906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fiscal_period</w:t>
            </w:r>
          </w:p>
        </w:tc>
        <w:tc>
          <w:tcPr>
            <w:tcW w:w="5669" w:type="dxa"/>
            <w:vAlign w:val="top"/>
          </w:tcPr>
          <w:p w14:paraId="688222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会计期间</w:t>
            </w:r>
          </w:p>
        </w:tc>
      </w:tr>
      <w:tr w14:paraId="7C8E9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FB5C6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posting_user</w:t>
            </w:r>
          </w:p>
        </w:tc>
        <w:tc>
          <w:tcPr>
            <w:tcW w:w="5669" w:type="dxa"/>
            <w:vAlign w:val="top"/>
          </w:tcPr>
          <w:p w14:paraId="1E3C89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过账人</w:t>
            </w:r>
          </w:p>
        </w:tc>
      </w:tr>
      <w:tr w14:paraId="4553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0CB4C9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return_message</w:t>
            </w:r>
          </w:p>
        </w:tc>
        <w:tc>
          <w:tcPr>
            <w:tcW w:w="5669" w:type="dxa"/>
            <w:vAlign w:val="top"/>
          </w:tcPr>
          <w:p w14:paraId="71C1D9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SAP返回信息</w:t>
            </w:r>
          </w:p>
        </w:tc>
      </w:tr>
    </w:tbl>
    <w:p w14:paraId="29EAF634">
      <w:pPr>
        <w:spacing w:after="40"/>
      </w:pPr>
    </w:p>
    <w:p w14:paraId="27317D92">
      <w:pPr>
        <w:spacing w:before="160" w:after="100"/>
      </w:pPr>
      <w:r>
        <w:rPr>
          <w:rFonts w:ascii="宋体" w:hAnsi="宋体" w:eastAsia="宋体"/>
          <w:b/>
          <w:sz w:val="24"/>
        </w:rPr>
        <w:t>11.9 文件资料 Attachment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660A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  <w:vAlign w:val="top"/>
          </w:tcPr>
          <w:p w14:paraId="29AE0B7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字段</w:t>
            </w:r>
          </w:p>
        </w:tc>
        <w:tc>
          <w:tcPr>
            <w:tcW w:w="5669" w:type="dxa"/>
            <w:shd w:val="clear" w:color="auto" w:fill="F2F2F2"/>
            <w:vAlign w:val="top"/>
          </w:tcPr>
          <w:p w14:paraId="2744D3E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说明</w:t>
            </w:r>
          </w:p>
        </w:tc>
      </w:tr>
      <w:tr w14:paraId="6BAD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9DBD6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attachment_id</w:t>
            </w:r>
          </w:p>
        </w:tc>
        <w:tc>
          <w:tcPr>
            <w:tcW w:w="5669" w:type="dxa"/>
            <w:vAlign w:val="top"/>
          </w:tcPr>
          <w:p w14:paraId="5071B2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文件ID</w:t>
            </w:r>
          </w:p>
        </w:tc>
      </w:tr>
      <w:tr w14:paraId="0D4F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275C8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biz_object_type</w:t>
            </w:r>
          </w:p>
        </w:tc>
        <w:tc>
          <w:tcPr>
            <w:tcW w:w="5669" w:type="dxa"/>
            <w:vAlign w:val="top"/>
          </w:tcPr>
          <w:p w14:paraId="38328B2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业务对象类型</w:t>
            </w:r>
          </w:p>
        </w:tc>
      </w:tr>
      <w:tr w14:paraId="7429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4E9833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biz_object_id</w:t>
            </w:r>
          </w:p>
        </w:tc>
        <w:tc>
          <w:tcPr>
            <w:tcW w:w="5669" w:type="dxa"/>
            <w:vAlign w:val="top"/>
          </w:tcPr>
          <w:p w14:paraId="65EEC0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业务对象ID</w:t>
            </w:r>
          </w:p>
        </w:tc>
      </w:tr>
      <w:tr w14:paraId="3C5A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92EC4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file_name</w:t>
            </w:r>
          </w:p>
        </w:tc>
        <w:tc>
          <w:tcPr>
            <w:tcW w:w="5669" w:type="dxa"/>
            <w:vAlign w:val="top"/>
          </w:tcPr>
          <w:p w14:paraId="3E0D2C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文件名</w:t>
            </w:r>
          </w:p>
        </w:tc>
      </w:tr>
      <w:tr w14:paraId="3F89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0410B1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file_type</w:t>
            </w:r>
          </w:p>
        </w:tc>
        <w:tc>
          <w:tcPr>
            <w:tcW w:w="5669" w:type="dxa"/>
            <w:vAlign w:val="top"/>
          </w:tcPr>
          <w:p w14:paraId="01EC1F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文件类型</w:t>
            </w:r>
          </w:p>
        </w:tc>
      </w:tr>
      <w:tr w14:paraId="00B74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70E1D2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source_type</w:t>
            </w:r>
          </w:p>
        </w:tc>
        <w:tc>
          <w:tcPr>
            <w:tcW w:w="5669" w:type="dxa"/>
            <w:vAlign w:val="top"/>
          </w:tcPr>
          <w:p w14:paraId="2B43E8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来源</w:t>
            </w:r>
          </w:p>
        </w:tc>
      </w:tr>
      <w:tr w14:paraId="2F819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132BDC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preview_url</w:t>
            </w:r>
          </w:p>
        </w:tc>
        <w:tc>
          <w:tcPr>
            <w:tcW w:w="5669" w:type="dxa"/>
            <w:vAlign w:val="top"/>
          </w:tcPr>
          <w:p w14:paraId="7EBBAB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预览地址</w:t>
            </w:r>
          </w:p>
        </w:tc>
      </w:tr>
      <w:tr w14:paraId="0705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0816F8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print_rule</w:t>
            </w:r>
          </w:p>
        </w:tc>
        <w:tc>
          <w:tcPr>
            <w:tcW w:w="5669" w:type="dxa"/>
            <w:vAlign w:val="top"/>
          </w:tcPr>
          <w:p w14:paraId="1CEFA0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打印规则</w:t>
            </w:r>
          </w:p>
        </w:tc>
      </w:tr>
      <w:tr w14:paraId="12A08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35" w:type="dxa"/>
            <w:vAlign w:val="top"/>
          </w:tcPr>
          <w:p w14:paraId="24373F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upload_user</w:t>
            </w:r>
          </w:p>
        </w:tc>
        <w:tc>
          <w:tcPr>
            <w:tcW w:w="5669" w:type="dxa"/>
            <w:vAlign w:val="top"/>
          </w:tcPr>
          <w:p w14:paraId="22DB1E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上传人</w:t>
            </w:r>
          </w:p>
        </w:tc>
      </w:tr>
      <w:tr w14:paraId="601D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top"/>
          </w:tcPr>
          <w:p w14:paraId="3EC98F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upload_time</w:t>
            </w:r>
          </w:p>
        </w:tc>
        <w:tc>
          <w:tcPr>
            <w:tcW w:w="5669" w:type="dxa"/>
            <w:vAlign w:val="top"/>
          </w:tcPr>
          <w:p w14:paraId="081474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上传时间</w:t>
            </w:r>
          </w:p>
        </w:tc>
      </w:tr>
    </w:tbl>
    <w:p w14:paraId="20BF2717">
      <w:pPr>
        <w:spacing w:after="40"/>
      </w:pPr>
    </w:p>
    <w:p w14:paraId="36C6E0AE">
      <w:pPr>
        <w:spacing w:before="240" w:after="160"/>
      </w:pPr>
      <w:r>
        <w:rPr>
          <w:rFonts w:ascii="宋体" w:hAnsi="宋体" w:eastAsia="宋体"/>
          <w:b/>
          <w:sz w:val="32"/>
        </w:rPr>
        <w:t>12. 状态与规则定义</w:t>
      </w:r>
    </w:p>
    <w:p w14:paraId="1739E4E2">
      <w:pPr>
        <w:spacing w:before="160" w:after="100"/>
      </w:pPr>
      <w:r>
        <w:rPr>
          <w:rFonts w:ascii="宋体" w:hAnsi="宋体" w:eastAsia="宋体"/>
          <w:b/>
          <w:sz w:val="24"/>
        </w:rPr>
        <w:t>12.1 状态定义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0E19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  <w:vAlign w:val="top"/>
          </w:tcPr>
          <w:p w14:paraId="7FB4F69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状态类别</w:t>
            </w:r>
          </w:p>
        </w:tc>
        <w:tc>
          <w:tcPr>
            <w:tcW w:w="6236" w:type="dxa"/>
            <w:shd w:val="clear" w:color="auto" w:fill="F2F2F2"/>
            <w:vAlign w:val="top"/>
          </w:tcPr>
          <w:p w14:paraId="07C012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状态值</w:t>
            </w:r>
          </w:p>
        </w:tc>
      </w:tr>
      <w:tr w14:paraId="223B9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1D4064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物流关联状态</w:t>
            </w:r>
          </w:p>
        </w:tc>
        <w:tc>
          <w:tcPr>
            <w:tcW w:w="6236" w:type="dxa"/>
            <w:vAlign w:val="top"/>
          </w:tcPr>
          <w:p w14:paraId="4C7983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未关联、已关联、关联异常</w:t>
            </w:r>
          </w:p>
        </w:tc>
      </w:tr>
      <w:tr w14:paraId="5B0A9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8DB71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物流签收状态</w:t>
            </w:r>
          </w:p>
        </w:tc>
        <w:tc>
          <w:tcPr>
            <w:tcW w:w="6236" w:type="dxa"/>
            <w:vAlign w:val="top"/>
          </w:tcPr>
          <w:p w14:paraId="292C4F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未签收、待签收、已签收、客户自提已确认、签收异常</w:t>
            </w:r>
          </w:p>
        </w:tc>
      </w:tr>
      <w:tr w14:paraId="7BC7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1B3E3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对账单状态</w:t>
            </w:r>
          </w:p>
        </w:tc>
        <w:tc>
          <w:tcPr>
            <w:tcW w:w="6236" w:type="dxa"/>
            <w:vAlign w:val="top"/>
          </w:tcPr>
          <w:p w14:paraId="291CA8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未创建、已创建、已下载、客户反馈已上传、对账完成、对账差异</w:t>
            </w:r>
          </w:p>
        </w:tc>
      </w:tr>
      <w:tr w14:paraId="2549A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99FAF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借贷项状态</w:t>
            </w:r>
          </w:p>
        </w:tc>
        <w:tc>
          <w:tcPr>
            <w:tcW w:w="6236" w:type="dxa"/>
            <w:vAlign w:val="top"/>
          </w:tcPr>
          <w:p w14:paraId="0AF738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不适用、待生成、处理中、已过账、失败</w:t>
            </w:r>
          </w:p>
        </w:tc>
      </w:tr>
      <w:tr w14:paraId="67FB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2F546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POD匹配状态</w:t>
            </w:r>
          </w:p>
        </w:tc>
        <w:tc>
          <w:tcPr>
            <w:tcW w:w="6236" w:type="dxa"/>
            <w:vAlign w:val="top"/>
          </w:tcPr>
          <w:p w14:paraId="6CFDE8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待POD处理、已具备条件待匹配、匹配异常、已完成POD匹配</w:t>
            </w:r>
          </w:p>
        </w:tc>
      </w:tr>
      <w:tr w14:paraId="5A016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90537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POD确认状态</w:t>
            </w:r>
          </w:p>
        </w:tc>
        <w:tc>
          <w:tcPr>
            <w:tcW w:w="6236" w:type="dxa"/>
            <w:vAlign w:val="top"/>
          </w:tcPr>
          <w:p w14:paraId="12777B1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未确认、POD已确认、确认失败</w:t>
            </w:r>
          </w:p>
        </w:tc>
      </w:tr>
      <w:tr w14:paraId="3E2F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B3B16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预制发票状态</w:t>
            </w:r>
          </w:p>
        </w:tc>
        <w:tc>
          <w:tcPr>
            <w:tcW w:w="6236" w:type="dxa"/>
            <w:vAlign w:val="top"/>
          </w:tcPr>
          <w:p w14:paraId="22410B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未预制、已预制、预制失败</w:t>
            </w:r>
          </w:p>
        </w:tc>
      </w:tr>
      <w:tr w14:paraId="2BE0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228AD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过账状态</w:t>
            </w:r>
          </w:p>
        </w:tc>
        <w:tc>
          <w:tcPr>
            <w:tcW w:w="6236" w:type="dxa"/>
            <w:vAlign w:val="top"/>
          </w:tcPr>
          <w:p w14:paraId="1B686F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未过账、已过账、过账失败</w:t>
            </w:r>
          </w:p>
        </w:tc>
      </w:tr>
      <w:tr w14:paraId="34C67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A73D9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归档状态</w:t>
            </w:r>
          </w:p>
        </w:tc>
        <w:tc>
          <w:tcPr>
            <w:tcW w:w="6236" w:type="dxa"/>
            <w:vAlign w:val="top"/>
          </w:tcPr>
          <w:p w14:paraId="3AB55A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未归档、已归档、归档异常</w:t>
            </w:r>
          </w:p>
        </w:tc>
      </w:tr>
    </w:tbl>
    <w:p w14:paraId="13B53704">
      <w:pPr>
        <w:spacing w:after="40"/>
      </w:pPr>
    </w:p>
    <w:p w14:paraId="2FF67FCD">
      <w:pPr>
        <w:spacing w:before="160" w:after="100"/>
      </w:pPr>
      <w:r>
        <w:rPr>
          <w:rFonts w:ascii="宋体" w:hAnsi="宋体" w:eastAsia="宋体"/>
          <w:b/>
          <w:sz w:val="24"/>
        </w:rPr>
        <w:t>12.2 关键规则</w:t>
      </w:r>
    </w:p>
    <w:p w14:paraId="3196905D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首页主看板展示全局数量，所有角色看到一致数据；待处理清单根据当前用户角色和数据范围过滤。</w:t>
      </w:r>
    </w:p>
    <w:p w14:paraId="18240F33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物流发运单号以公共邮箱记录为依据，不开放直接手工修改。邮件错误或缺失时，通过补邮件、补充说明或异常任务处理。</w:t>
      </w:r>
    </w:p>
    <w:p w14:paraId="74B29BC7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客户自提场景可通过邮件确认自提，系统视同物流签收已确认，并将邮件归档为POD资料。</w:t>
      </w:r>
    </w:p>
    <w:p w14:paraId="05B0364B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创建对账单前，需要存在SAP交货单；对账单可由CS按客户和周期筛选交货单后批量创建。</w:t>
      </w:r>
    </w:p>
    <w:p w14:paraId="37E731C2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POD确认前必须满足：交货单已同步；物流发运关联已建立；物流签收/POD资料有效或客户自提邮件确认有效；对账完成；借贷项已完成或不适用；用户具备POD确认权限。</w:t>
      </w:r>
    </w:p>
    <w:p w14:paraId="7887BF71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POD确认后系统自动生成预制发票，发票过账页面不提供预制发票按钮。</w:t>
      </w:r>
    </w:p>
    <w:p w14:paraId="260556FA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发票过账前必须满足：POD已确认、预制发票已生成、用户具备财务过账权限。</w:t>
      </w:r>
    </w:p>
    <w:p w14:paraId="4FD9AED1">
      <w:pPr>
        <w:spacing w:before="240" w:after="160"/>
      </w:pPr>
      <w:r>
        <w:rPr>
          <w:rFonts w:ascii="宋体" w:hAnsi="宋体" w:eastAsia="宋体"/>
          <w:b/>
          <w:sz w:val="32"/>
        </w:rPr>
        <w:t>13. 权限与审计设计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62B1F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  <w:vAlign w:val="top"/>
          </w:tcPr>
          <w:p w14:paraId="283DA6B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top"/>
          </w:tcPr>
          <w:p w14:paraId="22C822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可查看内容</w:t>
            </w:r>
          </w:p>
        </w:tc>
        <w:tc>
          <w:tcPr>
            <w:tcW w:w="3969" w:type="dxa"/>
            <w:shd w:val="clear" w:color="auto" w:fill="F2F2F2"/>
            <w:vAlign w:val="top"/>
          </w:tcPr>
          <w:p w14:paraId="6B09F5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可操作内容</w:t>
            </w:r>
          </w:p>
        </w:tc>
      </w:tr>
      <w:tr w14:paraId="6731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05771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CS</w:t>
            </w:r>
          </w:p>
        </w:tc>
        <w:tc>
          <w:tcPr>
            <w:tcW w:w="3402" w:type="dxa"/>
            <w:vAlign w:val="top"/>
          </w:tcPr>
          <w:p w14:paraId="0B0B15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本人负责客户的交货单、对账单、POD匹配状态和待办</w:t>
            </w:r>
          </w:p>
        </w:tc>
        <w:tc>
          <w:tcPr>
            <w:tcW w:w="3969" w:type="dxa"/>
            <w:vAlign w:val="top"/>
          </w:tcPr>
          <w:p w14:paraId="67BE7A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创建对账单、下载、上传客户反馈、差异分析、保存POD匹配、POD确认</w:t>
            </w:r>
          </w:p>
        </w:tc>
      </w:tr>
      <w:tr w14:paraId="16E1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351C3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CS经理</w:t>
            </w:r>
          </w:p>
        </w:tc>
        <w:tc>
          <w:tcPr>
            <w:tcW w:w="3402" w:type="dxa"/>
            <w:vAlign w:val="top"/>
          </w:tcPr>
          <w:p w14:paraId="66F40B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销售全局看板、全部CS待办、异常和综合查询</w:t>
            </w:r>
          </w:p>
        </w:tc>
        <w:tc>
          <w:tcPr>
            <w:tcW w:w="3969" w:type="dxa"/>
            <w:vAlign w:val="top"/>
          </w:tcPr>
          <w:p w14:paraId="71BE54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查看全局、分派异常、导出报表、审批特殊POD确认</w:t>
            </w:r>
          </w:p>
        </w:tc>
      </w:tr>
      <w:tr w14:paraId="5055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66374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</w:t>
            </w:r>
          </w:p>
        </w:tc>
        <w:tc>
          <w:tcPr>
            <w:tcW w:w="3402" w:type="dxa"/>
            <w:vAlign w:val="top"/>
          </w:tcPr>
          <w:p w14:paraId="5806AF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物流关联、签收资料、客户自提邮件和物流异常</w:t>
            </w:r>
          </w:p>
        </w:tc>
        <w:tc>
          <w:tcPr>
            <w:tcW w:w="3969" w:type="dxa"/>
            <w:vAlign w:val="top"/>
          </w:tcPr>
          <w:p w14:paraId="37EAB9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补充物流资料、查看邮件关联、上传签收资料、处理物流异常</w:t>
            </w:r>
          </w:p>
        </w:tc>
      </w:tr>
      <w:tr w14:paraId="6A14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3D068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财务</w:t>
            </w:r>
          </w:p>
        </w:tc>
        <w:tc>
          <w:tcPr>
            <w:tcW w:w="3402" w:type="dxa"/>
            <w:vAlign w:val="top"/>
          </w:tcPr>
          <w:p w14:paraId="602B99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预制发票状态、过账状态、凭证号、打印和归档资料</w:t>
            </w:r>
          </w:p>
        </w:tc>
        <w:tc>
          <w:tcPr>
            <w:tcW w:w="3969" w:type="dxa"/>
            <w:vAlign w:val="top"/>
          </w:tcPr>
          <w:p w14:paraId="507D94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执行发票过账、打印、归档、重试过账</w:t>
            </w:r>
          </w:p>
        </w:tc>
      </w:tr>
      <w:tr w14:paraId="537E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D8287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财务主管</w:t>
            </w:r>
          </w:p>
        </w:tc>
        <w:tc>
          <w:tcPr>
            <w:tcW w:w="3402" w:type="dxa"/>
            <w:vAlign w:val="top"/>
          </w:tcPr>
          <w:p w14:paraId="2CCFC9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全量财务信息、凭证、归档状态和异常</w:t>
            </w:r>
          </w:p>
        </w:tc>
        <w:tc>
          <w:tcPr>
            <w:tcW w:w="3969" w:type="dxa"/>
            <w:vAlign w:val="top"/>
          </w:tcPr>
          <w:p w14:paraId="0F7897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全量查询、导出、异常审批、归档检查</w:t>
            </w:r>
          </w:p>
        </w:tc>
      </w:tr>
      <w:tr w14:paraId="4F12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45A7F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系统管理员</w:t>
            </w:r>
          </w:p>
        </w:tc>
        <w:tc>
          <w:tcPr>
            <w:tcW w:w="3402" w:type="dxa"/>
            <w:vAlign w:val="top"/>
          </w:tcPr>
          <w:p w14:paraId="0654FD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接口状态、定时任务、日志和配置</w:t>
            </w:r>
          </w:p>
        </w:tc>
        <w:tc>
          <w:tcPr>
            <w:tcW w:w="3969" w:type="dxa"/>
            <w:vAlign w:val="top"/>
          </w:tcPr>
          <w:p w14:paraId="779861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系统配置、接口重试、权限配置、日志查询</w:t>
            </w:r>
          </w:p>
        </w:tc>
      </w:tr>
    </w:tbl>
    <w:p w14:paraId="4E3F0F9B">
      <w:pPr>
        <w:spacing w:after="40"/>
      </w:pPr>
    </w:p>
    <w:p w14:paraId="5F2891A3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系统需要记录交货单同步、邮件读取、文件读取、AI识别、对账单创建、下载、上传、差异分析、借贷项处理、POD保存、POD确认、预制发票生成、过账、打印、归档、导出和权限变更等操作。日志需包含操作人、操作时间、业务对象、变更前后状态、接口返回信息和失败原因。</w:t>
      </w:r>
    </w:p>
    <w:p w14:paraId="38AEA4F0">
      <w:pPr>
        <w:spacing w:before="240" w:after="160"/>
      </w:pPr>
      <w:r>
        <w:rPr>
          <w:rFonts w:ascii="宋体" w:hAnsi="宋体" w:eastAsia="宋体"/>
          <w:b/>
          <w:sz w:val="32"/>
        </w:rPr>
        <w:t>14. 开发落地建议</w:t>
      </w:r>
    </w:p>
    <w:p w14:paraId="2BD7B31F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第一阶段优先实现首页流程节点看板、SAP交货单同步、公共邮箱读取、公共文件夹读取、对账单创建/下载/上传/差异分析、POD保存与POD确认。</w:t>
      </w:r>
    </w:p>
    <w:p w14:paraId="3A71E19F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第二阶段实现POD确认后自动生成预制发票、发票过账、资料预览打印、综合查询、角色权限和操作日志。</w:t>
      </w:r>
    </w:p>
    <w:p w14:paraId="38141C37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第三阶段优化AI识别准确率、自动POD确认、异常超期规则、借贷项状态自动回写、接口监控、失败重试和配置化规则。</w:t>
      </w:r>
    </w:p>
    <w:p w14:paraId="759F3FB6">
      <w:pPr>
        <w:spacing w:before="0" w:after="80" w:line="276" w:lineRule="auto"/>
      </w:pPr>
      <w:r>
        <w:rPr>
          <w:rFonts w:ascii="宋体" w:hAnsi="宋体" w:eastAsia="宋体"/>
          <w:b w:val="0"/>
          <w:sz w:val="20"/>
        </w:rPr>
        <w:t>开发方式上，可利用AI辅助生成前端页面、表格组件、接口DTO、基础CRUD、状态流转和部分规则代码；但SAP接口、邮箱解析、财务过账、安全权限、审计日志和打印归档仍需人工设计、联调和验证。</w:t>
      </w:r>
    </w:p>
    <w:p w14:paraId="3D8A394E">
      <w:pPr>
        <w:spacing w:before="240" w:after="160"/>
      </w:pPr>
      <w:r>
        <w:rPr>
          <w:rFonts w:ascii="宋体" w:hAnsi="宋体" w:eastAsia="宋体"/>
          <w:b/>
          <w:sz w:val="32"/>
        </w:rPr>
        <w:t>15. 待确认事项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030"/>
      </w:tblGrid>
      <w:tr w14:paraId="6CDD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2F2"/>
            <w:vAlign w:val="top"/>
          </w:tcPr>
          <w:p w14:paraId="41B35C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w="7030" w:type="dxa"/>
            <w:shd w:val="clear" w:color="auto" w:fill="F2F2F2"/>
            <w:vAlign w:val="top"/>
          </w:tcPr>
          <w:p w14:paraId="52B5B6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待确认事项</w:t>
            </w:r>
          </w:p>
        </w:tc>
      </w:tr>
      <w:tr w14:paraId="79D01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05B49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SAP接口</w:t>
            </w:r>
          </w:p>
        </w:tc>
        <w:tc>
          <w:tcPr>
            <w:tcW w:w="7030" w:type="dxa"/>
            <w:vAlign w:val="top"/>
          </w:tcPr>
          <w:p w14:paraId="5394E6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交货单查询、预制发票、发票过账、凭证查询和借贷项处理接口能力。</w:t>
            </w:r>
          </w:p>
        </w:tc>
      </w:tr>
      <w:tr w14:paraId="5E166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067C4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数据源口径</w:t>
            </w:r>
          </w:p>
        </w:tc>
        <w:tc>
          <w:tcPr>
            <w:tcW w:w="7030" w:type="dxa"/>
            <w:vAlign w:val="top"/>
          </w:tcPr>
          <w:p w14:paraId="420648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是否完全以SAP交货单为准；MCP/ACP等名称是否只是会议转写或仍需对接。</w:t>
            </w:r>
          </w:p>
        </w:tc>
      </w:tr>
      <w:tr w14:paraId="06BE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B87B2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公共邮箱</w:t>
            </w:r>
          </w:p>
        </w:tc>
        <w:tc>
          <w:tcPr>
            <w:tcW w:w="7030" w:type="dxa"/>
            <w:vAlign w:val="top"/>
          </w:tcPr>
          <w:p w14:paraId="07B928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邮箱地址、邮件格式、邮件文件夹、读取权限、历史邮件范围和异常邮件处理规则。</w:t>
            </w:r>
          </w:p>
        </w:tc>
      </w:tr>
      <w:tr w14:paraId="1322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AA3C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公共文件夹</w:t>
            </w:r>
          </w:p>
        </w:tc>
        <w:tc>
          <w:tcPr>
            <w:tcW w:w="7030" w:type="dxa"/>
            <w:vAlign w:val="top"/>
          </w:tcPr>
          <w:p w14:paraId="02DDCA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物流签收单、POD资料和客户反馈对账文件的存放路径、命名规则和归档规则。</w:t>
            </w:r>
          </w:p>
        </w:tc>
      </w:tr>
      <w:tr w14:paraId="6EE6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7F1B4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客户自提</w:t>
            </w:r>
          </w:p>
        </w:tc>
        <w:tc>
          <w:tcPr>
            <w:tcW w:w="7030" w:type="dxa"/>
            <w:vAlign w:val="top"/>
          </w:tcPr>
          <w:p w14:paraId="58A026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客户自提邮件确认的标准内容、责任人、确认字段和审计要求。</w:t>
            </w:r>
          </w:p>
        </w:tc>
      </w:tr>
      <w:tr w14:paraId="4091D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BC78B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对账单格式</w:t>
            </w:r>
          </w:p>
        </w:tc>
        <w:tc>
          <w:tcPr>
            <w:tcW w:w="7030" w:type="dxa"/>
            <w:vAlign w:val="top"/>
          </w:tcPr>
          <w:p w14:paraId="7C1B0F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对账单下载模板、客户反馈模板、差异分析字段和容差规则。</w:t>
            </w:r>
          </w:p>
        </w:tc>
      </w:tr>
      <w:tr w14:paraId="74B40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B03BB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借贷项</w:t>
            </w:r>
          </w:p>
        </w:tc>
        <w:tc>
          <w:tcPr>
            <w:tcW w:w="7030" w:type="dxa"/>
            <w:vAlign w:val="top"/>
          </w:tcPr>
          <w:p w14:paraId="45B9D9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借贷项由系统创建、关联还是只记录状态；是否需要自动过账和回写。</w:t>
            </w:r>
          </w:p>
        </w:tc>
      </w:tr>
      <w:tr w14:paraId="1556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B30FE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POD颗粒度</w:t>
            </w:r>
          </w:p>
        </w:tc>
        <w:tc>
          <w:tcPr>
            <w:tcW w:w="7030" w:type="dxa"/>
            <w:vAlign w:val="top"/>
          </w:tcPr>
          <w:p w14:paraId="1484FC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初期按交货单/DN确认，后续是否需要扩展到行项目级。</w:t>
            </w:r>
          </w:p>
        </w:tc>
      </w:tr>
      <w:tr w14:paraId="6B665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2101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权限范围</w:t>
            </w:r>
          </w:p>
        </w:tc>
        <w:tc>
          <w:tcPr>
            <w:tcW w:w="7030" w:type="dxa"/>
            <w:vAlign w:val="top"/>
          </w:tcPr>
          <w:p w14:paraId="2248DF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CS、CS经理、物流、财务、财务主管的数据范围、字段级权限和操作权限。</w:t>
            </w:r>
          </w:p>
        </w:tc>
      </w:tr>
      <w:tr w14:paraId="3E9E8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CC52E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打印归档</w:t>
            </w:r>
          </w:p>
        </w:tc>
        <w:tc>
          <w:tcPr>
            <w:tcW w:w="7030" w:type="dxa"/>
            <w:vAlign w:val="top"/>
          </w:tcPr>
          <w:p w14:paraId="6CE292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POD资料、对账单、POD日志、预制发票、过账凭证的打印样式和归档清单。</w:t>
            </w:r>
          </w:p>
        </w:tc>
      </w:tr>
      <w:tr w14:paraId="38AE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28339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异常规则</w:t>
            </w:r>
          </w:p>
        </w:tc>
        <w:tc>
          <w:tcPr>
            <w:tcW w:w="7030" w:type="dxa"/>
            <w:vAlign w:val="top"/>
          </w:tcPr>
          <w:p w14:paraId="4B967D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发货未取物流发运单、未签收、未创建对账单、具备条件未POD确认等超期天数阈值。</w:t>
            </w:r>
          </w:p>
        </w:tc>
      </w:tr>
    </w:tbl>
    <w:p w14:paraId="557807B4">
      <w:pPr>
        <w:spacing w:after="40"/>
      </w:pP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ＭＳ ゴシック">
    <w:altName w:val="ＭＳ 明朝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BDD11">
    <w:pPr>
      <w:pStyle w:val="24"/>
      <w:jc w:val="center"/>
    </w:pPr>
    <w:r>
      <w:rPr>
        <w:rFonts w:ascii="宋体" w:hAnsi="宋体" w:eastAsia="宋体"/>
        <w:b w:val="0"/>
        <w:sz w:val="16"/>
      </w:rPr>
      <w:t>销售POD收入确认开发方案设计文档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FA0E46"/>
    <w:rsid w:val="DEBA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2026-07-02T08:57:23Z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A45A4E91EB269AAC73B7456AFC032FE9_43</vt:lpwstr>
  </property>
</Properties>
</file>