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w:t>
      </w:r>
      <w:r w:rsidDel="00000000" w:rsidR="00000000" w:rsidRPr="00000000">
        <w:rPr>
          <w:rFonts w:ascii="Times New Roman" w:cs="Times New Roman" w:eastAsia="Times New Roman" w:hAnsi="Times New Roman"/>
          <w:sz w:val="24"/>
          <w:szCs w:val="24"/>
          <w:rtl w:val="0"/>
        </w:rPr>
        <w:t xml:space="preserve"> (something along the lines of) To what extent did Charlie Wilson’s winning the Soviet-Afghan War for the mujahideen awaken the dormant dreams and visions of jihad, leading to the rise of modern fundamentalist groups?</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THESIS</w:t>
      </w:r>
      <w:r w:rsidDel="00000000" w:rsidR="00000000" w:rsidRPr="00000000">
        <w:rPr>
          <w:rFonts w:ascii="Times New Roman" w:cs="Times New Roman" w:eastAsia="Times New Roman" w:hAnsi="Times New Roman"/>
          <w:sz w:val="24"/>
          <w:szCs w:val="24"/>
          <w:rtl w:val="0"/>
        </w:rPr>
        <w:t xml:space="preserve"> Texas Congressman Charlie “Good Time” Wilson, in a minor position on a Defense Appropriations subcommittee, increased the funding behind the mujahideen in the Soviet-Afghan War by well over one billion dollars, helping scattered groups of tribesmen defeat the Soviet Army and accelerating the collapse of the Soviet Union. However, the poor execution in the endgame of his war destabilized Afghanistan and awakened the dormant dreams and visions of Islam and jihad, leading to the rise of modern separatist and fundamentalist groups.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