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E3A5F"/>
          <w:sz w:val="72"/>
          <w:szCs w:val="72"/>
        </w:rPr>
        <w:t xml:space="preserve">DOMUSONE</w:t>
      </w:r>
    </w:p>
    <w:p>
      <w:pPr>
        <w:pBdr>
          <w:bottom w:val="single" w:color="2563EB" w:sz="12" w:space="14"/>
        </w:pBdr>
        <w:spacing w:after="0" w:before="200"/>
        <w:jc w:val="center"/>
      </w:pPr>
      <w:r>
        <w:rPr>
          <w:rFonts w:ascii="Arial" w:cs="Arial" w:eastAsia="Arial" w:hAnsi="Arial"/>
          <w:i/>
          <w:iCs/>
          <w:color w:val="55606B"/>
          <w:sz w:val="20"/>
          <w:szCs w:val="20"/>
        </w:rPr>
        <w:t xml:space="preserve">Sistema de Administración de Fraccionamientos y Clubes Residenciales</w:t>
      </w:r>
    </w:p>
    <w:p>
      <w:pPr>
        <w:spacing w:after="900" w:before="500"/>
        <w:jc w:val="center"/>
      </w:pPr>
      <w:r>
        <w:rPr>
          <w:rFonts w:ascii="Arial" w:cs="Arial" w:eastAsia="Arial" w:hAnsi="Arial"/>
          <w:b/>
          <w:bCs/>
          <w:color w:val="2563EB"/>
          <w:sz w:val="34"/>
          <w:szCs w:val="34"/>
        </w:rPr>
        <w:t xml:space="preserve">Manual de Usuario — Módulo de Tesorería</w:t>
      </w:r>
    </w:p>
    <w:tbl>
      <w:tblPr>
        <w:tblW w:type="dxa" w:w="6300"/>
        <w:jc w:val="center"/>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4100"/>
      </w:tblGrid>
      <w:t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Versión</w:t>
            </w:r>
          </w:p>
        </w:tc>
        <w:tc>
          <w:tcPr>
            <w:tcW w:type="dxa" w:w="41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1.0</w:t>
            </w:r>
          </w:p>
        </w:tc>
      </w:tr>
      <w:t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Audiencia</w:t>
            </w:r>
          </w:p>
        </w:tc>
        <w:tc>
          <w:tcPr>
            <w:tcW w:type="dxa" w:w="41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Personal de Tesorería y Administración</w:t>
            </w:r>
          </w:p>
        </w:tc>
      </w:tr>
      <w:t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Fecha</w:t>
            </w:r>
          </w:p>
        </w:tc>
        <w:tc>
          <w:tcPr>
            <w:tcW w:type="dxa" w:w="41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22 de julio de 2026</w:t>
            </w:r>
          </w:p>
        </w:tc>
      </w:tr>
      <w:t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Módulo</w:t>
            </w:r>
          </w:p>
        </w:tc>
        <w:tc>
          <w:tcPr>
            <w:tcW w:type="dxa" w:w="41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Tesorería (/tesoreria)</w:t>
            </w:r>
          </w:p>
        </w:tc>
      </w:tr>
    </w:tbl>
    <w:p>
      <w:r>
        <w:br w:type="page"/>
      </w:r>
    </w:p>
    <w:p>
      <w:pPr>
        <w:pStyle w:val="Heading1"/>
        <w:spacing w:after="220" w:before="0"/>
      </w:pPr>
      <w:r>
        <w:rPr>
          <w:rFonts w:ascii="Arial" w:cs="Arial" w:eastAsia="Arial" w:hAnsi="Arial"/>
          <w:b/>
          <w:bCs/>
          <w:color w:val="1E3A5F"/>
          <w:sz w:val="34"/>
          <w:szCs w:val="34"/>
        </w:rPr>
        <w:t xml:space="preserve">Índice</w:t>
      </w:r>
    </w:p>
    <w:p>
      <w:pPr>
        <w:tabs>
          <w:tab w:val="right" w:pos="9360" w:leader="dot"/>
        </w:tabs>
        <w:spacing w:after="100" w:before="140"/>
        <w:ind w:left="0"/>
      </w:pPr>
      <w:r>
        <w:rPr>
          <w:rFonts w:ascii="Arial" w:cs="Arial" w:eastAsia="Arial" w:hAnsi="Arial"/>
          <w:b/>
          <w:bCs/>
          <w:color w:val="1E3A5F"/>
          <w:sz w:val="22"/>
          <w:szCs w:val="22"/>
        </w:rPr>
        <w:t xml:space="preserve">1.  </w:t>
      </w:r>
      <w:r>
        <w:rPr>
          <w:rFonts w:ascii="Arial" w:cs="Arial" w:eastAsia="Arial" w:hAnsi="Arial"/>
          <w:b/>
          <w:bCs/>
          <w:color w:val="1E3A5F"/>
          <w:sz w:val="22"/>
          <w:szCs w:val="22"/>
        </w:rPr>
        <w:t xml:space="preserve">Introducción al Módulo de Tesorería</w:t>
      </w:r>
    </w:p>
    <w:p>
      <w:pPr>
        <w:tabs>
          <w:tab w:val="right" w:pos="9360" w:leader="dot"/>
        </w:tabs>
        <w:spacing w:after="60" w:before="0"/>
        <w:ind w:left="260"/>
      </w:pPr>
      <w:r>
        <w:rPr>
          <w:rFonts w:ascii="Arial" w:cs="Arial" w:eastAsia="Arial" w:hAnsi="Arial"/>
          <w:b w:val="false"/>
          <w:bCs w:val="false"/>
          <w:color w:val="333333"/>
          <w:sz w:val="20"/>
          <w:szCs w:val="20"/>
        </w:rPr>
        <w:t xml:space="preserve">1.1  </w:t>
      </w:r>
      <w:r>
        <w:rPr>
          <w:rFonts w:ascii="Arial" w:cs="Arial" w:eastAsia="Arial" w:hAnsi="Arial"/>
          <w:b w:val="false"/>
          <w:bCs w:val="false"/>
          <w:color w:val="333333"/>
          <w:sz w:val="20"/>
          <w:szCs w:val="20"/>
        </w:rPr>
        <w:t xml:space="preserve">Qué es Tesorería en DomusOne</w:t>
      </w:r>
    </w:p>
    <w:p>
      <w:pPr>
        <w:tabs>
          <w:tab w:val="right" w:pos="9360" w:leader="dot"/>
        </w:tabs>
        <w:spacing w:after="60" w:before="0"/>
        <w:ind w:left="260"/>
      </w:pPr>
      <w:r>
        <w:rPr>
          <w:rFonts w:ascii="Arial" w:cs="Arial" w:eastAsia="Arial" w:hAnsi="Arial"/>
          <w:b w:val="false"/>
          <w:bCs w:val="false"/>
          <w:color w:val="333333"/>
          <w:sz w:val="20"/>
          <w:szCs w:val="20"/>
        </w:rPr>
        <w:t xml:space="preserve">1.2  </w:t>
      </w:r>
      <w:r>
        <w:rPr>
          <w:rFonts w:ascii="Arial" w:cs="Arial" w:eastAsia="Arial" w:hAnsi="Arial"/>
          <w:b w:val="false"/>
          <w:bCs w:val="false"/>
          <w:color w:val="333333"/>
          <w:sz w:val="20"/>
          <w:szCs w:val="20"/>
        </w:rPr>
        <w:t xml:space="preserve">Relación con el módulo de Compras (flujo del dinero)</w:t>
      </w:r>
    </w:p>
    <w:p>
      <w:pPr>
        <w:tabs>
          <w:tab w:val="right" w:pos="9360" w:leader="dot"/>
        </w:tabs>
        <w:spacing w:after="60" w:before="0"/>
        <w:ind w:left="260"/>
      </w:pPr>
      <w:r>
        <w:rPr>
          <w:rFonts w:ascii="Arial" w:cs="Arial" w:eastAsia="Arial" w:hAnsi="Arial"/>
          <w:b w:val="false"/>
          <w:bCs w:val="false"/>
          <w:color w:val="333333"/>
          <w:sz w:val="20"/>
          <w:szCs w:val="20"/>
        </w:rPr>
        <w:t xml:space="preserve">1.3  </w:t>
      </w:r>
      <w:r>
        <w:rPr>
          <w:rFonts w:ascii="Arial" w:cs="Arial" w:eastAsia="Arial" w:hAnsi="Arial"/>
          <w:b w:val="false"/>
          <w:bCs w:val="false"/>
          <w:color w:val="333333"/>
          <w:sz w:val="20"/>
          <w:szCs w:val="20"/>
        </w:rPr>
        <w:t xml:space="preserve">Cómo llegar al módulo</w:t>
      </w:r>
    </w:p>
    <w:p>
      <w:pPr>
        <w:tabs>
          <w:tab w:val="right" w:pos="9360" w:leader="dot"/>
        </w:tabs>
        <w:spacing w:after="100" w:before="140"/>
        <w:ind w:left="0"/>
      </w:pPr>
      <w:r>
        <w:rPr>
          <w:rFonts w:ascii="Arial" w:cs="Arial" w:eastAsia="Arial" w:hAnsi="Arial"/>
          <w:b/>
          <w:bCs/>
          <w:color w:val="1E3A5F"/>
          <w:sz w:val="22"/>
          <w:szCs w:val="22"/>
        </w:rPr>
        <w:t xml:space="preserve">2.  </w:t>
      </w:r>
      <w:r>
        <w:rPr>
          <w:rFonts w:ascii="Arial" w:cs="Arial" w:eastAsia="Arial" w:hAnsi="Arial"/>
          <w:b/>
          <w:bCs/>
          <w:color w:val="1E3A5F"/>
          <w:sz w:val="22"/>
          <w:szCs w:val="22"/>
        </w:rPr>
        <w:t xml:space="preserve">Roles y Permisos de Acceso</w:t>
      </w:r>
    </w:p>
    <w:p>
      <w:pPr>
        <w:tabs>
          <w:tab w:val="right" w:pos="9360" w:leader="dot"/>
        </w:tabs>
        <w:spacing w:after="60" w:before="0"/>
        <w:ind w:left="260"/>
      </w:pPr>
      <w:r>
        <w:rPr>
          <w:rFonts w:ascii="Arial" w:cs="Arial" w:eastAsia="Arial" w:hAnsi="Arial"/>
          <w:b w:val="false"/>
          <w:bCs w:val="false"/>
          <w:color w:val="333333"/>
          <w:sz w:val="20"/>
          <w:szCs w:val="20"/>
        </w:rPr>
        <w:t xml:space="preserve">2.1  </w:t>
      </w:r>
      <w:r>
        <w:rPr>
          <w:rFonts w:ascii="Arial" w:cs="Arial" w:eastAsia="Arial" w:hAnsi="Arial"/>
          <w:b w:val="false"/>
          <w:bCs w:val="false"/>
          <w:color w:val="333333"/>
          <w:sz w:val="20"/>
          <w:szCs w:val="20"/>
        </w:rPr>
        <w:t xml:space="preserve">Roles con acceso al módulo</w:t>
      </w:r>
    </w:p>
    <w:p>
      <w:pPr>
        <w:tabs>
          <w:tab w:val="right" w:pos="9360" w:leader="dot"/>
        </w:tabs>
        <w:spacing w:after="60" w:before="0"/>
        <w:ind w:left="260"/>
      </w:pPr>
      <w:r>
        <w:rPr>
          <w:rFonts w:ascii="Arial" w:cs="Arial" w:eastAsia="Arial" w:hAnsi="Arial"/>
          <w:b w:val="false"/>
          <w:bCs w:val="false"/>
          <w:color w:val="333333"/>
          <w:sz w:val="20"/>
          <w:szCs w:val="20"/>
        </w:rPr>
        <w:t xml:space="preserve">2.2  </w:t>
      </w:r>
      <w:r>
        <w:rPr>
          <w:rFonts w:ascii="Arial" w:cs="Arial" w:eastAsia="Arial" w:hAnsi="Arial"/>
          <w:b w:val="false"/>
          <w:bCs w:val="false"/>
          <w:color w:val="333333"/>
          <w:sz w:val="20"/>
          <w:szCs w:val="20"/>
        </w:rPr>
        <w:t xml:space="preserve">Autorización de Órdenes de Pago</w:t>
      </w:r>
    </w:p>
    <w:p>
      <w:pPr>
        <w:tabs>
          <w:tab w:val="right" w:pos="9360" w:leader="dot"/>
        </w:tabs>
        <w:spacing w:after="60" w:before="0"/>
        <w:ind w:left="260"/>
      </w:pPr>
      <w:r>
        <w:rPr>
          <w:rFonts w:ascii="Arial" w:cs="Arial" w:eastAsia="Arial" w:hAnsi="Arial"/>
          <w:b w:val="false"/>
          <w:bCs w:val="false"/>
          <w:color w:val="333333"/>
          <w:sz w:val="20"/>
          <w:szCs w:val="20"/>
        </w:rPr>
        <w:t xml:space="preserve">2.3  </w:t>
      </w:r>
      <w:r>
        <w:rPr>
          <w:rFonts w:ascii="Arial" w:cs="Arial" w:eastAsia="Arial" w:hAnsi="Arial"/>
          <w:b w:val="false"/>
          <w:bCs w:val="false"/>
          <w:color w:val="333333"/>
          <w:sz w:val="20"/>
          <w:szCs w:val="20"/>
        </w:rPr>
        <w:t xml:space="preserve">Nota importante sobre permisos de escritura</w:t>
      </w:r>
    </w:p>
    <w:p>
      <w:pPr>
        <w:tabs>
          <w:tab w:val="right" w:pos="9360" w:leader="dot"/>
        </w:tabs>
        <w:spacing w:after="100" w:before="140"/>
        <w:ind w:left="0"/>
      </w:pPr>
      <w:r>
        <w:rPr>
          <w:rFonts w:ascii="Arial" w:cs="Arial" w:eastAsia="Arial" w:hAnsi="Arial"/>
          <w:b/>
          <w:bCs/>
          <w:color w:val="1E3A5F"/>
          <w:sz w:val="22"/>
          <w:szCs w:val="22"/>
        </w:rPr>
        <w:t xml:space="preserve">3.  </w:t>
      </w:r>
      <w:r>
        <w:rPr>
          <w:rFonts w:ascii="Arial" w:cs="Arial" w:eastAsia="Arial" w:hAnsi="Arial"/>
          <w:b/>
          <w:bCs/>
          <w:color w:val="1E3A5F"/>
          <w:sz w:val="22"/>
          <w:szCs w:val="22"/>
        </w:rPr>
        <w:t xml:space="preserve">Dashboard de Tesorería</w:t>
      </w:r>
    </w:p>
    <w:p>
      <w:pPr>
        <w:tabs>
          <w:tab w:val="right" w:pos="9360" w:leader="dot"/>
        </w:tabs>
        <w:spacing w:after="60" w:before="0"/>
        <w:ind w:left="260"/>
      </w:pPr>
      <w:r>
        <w:rPr>
          <w:rFonts w:ascii="Arial" w:cs="Arial" w:eastAsia="Arial" w:hAnsi="Arial"/>
          <w:b w:val="false"/>
          <w:bCs w:val="false"/>
          <w:color w:val="333333"/>
          <w:sz w:val="20"/>
          <w:szCs w:val="20"/>
        </w:rPr>
        <w:t xml:space="preserve">3.1  </w:t>
      </w:r>
      <w:r>
        <w:rPr>
          <w:rFonts w:ascii="Arial" w:cs="Arial" w:eastAsia="Arial" w:hAnsi="Arial"/>
          <w:b w:val="false"/>
          <w:bCs w:val="false"/>
          <w:color w:val="333333"/>
          <w:sz w:val="20"/>
          <w:szCs w:val="20"/>
        </w:rPr>
        <w:t xml:space="preserve">Indicadores (KPIs)</w:t>
      </w:r>
    </w:p>
    <w:p>
      <w:pPr>
        <w:tabs>
          <w:tab w:val="right" w:pos="9360" w:leader="dot"/>
        </w:tabs>
        <w:spacing w:after="60" w:before="0"/>
        <w:ind w:left="260"/>
      </w:pPr>
      <w:r>
        <w:rPr>
          <w:rFonts w:ascii="Arial" w:cs="Arial" w:eastAsia="Arial" w:hAnsi="Arial"/>
          <w:b w:val="false"/>
          <w:bCs w:val="false"/>
          <w:color w:val="333333"/>
          <w:sz w:val="20"/>
          <w:szCs w:val="20"/>
        </w:rPr>
        <w:t xml:space="preserve">3.2  </w:t>
      </w:r>
      <w:r>
        <w:rPr>
          <w:rFonts w:ascii="Arial" w:cs="Arial" w:eastAsia="Arial" w:hAnsi="Arial"/>
          <w:b w:val="false"/>
          <w:bCs w:val="false"/>
          <w:color w:val="333333"/>
          <w:sz w:val="20"/>
          <w:szCs w:val="20"/>
        </w:rPr>
        <w:t xml:space="preserve">Accesos rápidos del módulo</w:t>
      </w:r>
    </w:p>
    <w:p>
      <w:pPr>
        <w:tabs>
          <w:tab w:val="right" w:pos="9360" w:leader="dot"/>
        </w:tabs>
        <w:spacing w:after="60" w:before="0"/>
        <w:ind w:left="260"/>
      </w:pPr>
      <w:r>
        <w:rPr>
          <w:rFonts w:ascii="Arial" w:cs="Arial" w:eastAsia="Arial" w:hAnsi="Arial"/>
          <w:b w:val="false"/>
          <w:bCs w:val="false"/>
          <w:color w:val="333333"/>
          <w:sz w:val="20"/>
          <w:szCs w:val="20"/>
        </w:rPr>
        <w:t xml:space="preserve">3.3  </w:t>
      </w:r>
      <w:r>
        <w:rPr>
          <w:rFonts w:ascii="Arial" w:cs="Arial" w:eastAsia="Arial" w:hAnsi="Arial"/>
          <w:b w:val="false"/>
          <w:bCs w:val="false"/>
          <w:color w:val="333333"/>
          <w:sz w:val="20"/>
          <w:szCs w:val="20"/>
        </w:rPr>
        <w:t xml:space="preserve">Cargos y Abonos automáticos</w:t>
      </w:r>
    </w:p>
    <w:p>
      <w:pPr>
        <w:tabs>
          <w:tab w:val="right" w:pos="9360" w:leader="dot"/>
        </w:tabs>
        <w:spacing w:after="100" w:before="140"/>
        <w:ind w:left="0"/>
      </w:pPr>
      <w:r>
        <w:rPr>
          <w:rFonts w:ascii="Arial" w:cs="Arial" w:eastAsia="Arial" w:hAnsi="Arial"/>
          <w:b/>
          <w:bCs/>
          <w:color w:val="1E3A5F"/>
          <w:sz w:val="22"/>
          <w:szCs w:val="22"/>
        </w:rPr>
        <w:t xml:space="preserve">4.  </w:t>
      </w:r>
      <w:r>
        <w:rPr>
          <w:rFonts w:ascii="Arial" w:cs="Arial" w:eastAsia="Arial" w:hAnsi="Arial"/>
          <w:b/>
          <w:bCs/>
          <w:color w:val="1E3A5F"/>
          <w:sz w:val="22"/>
          <w:szCs w:val="22"/>
        </w:rPr>
        <w:t xml:space="preserve">Cuentas Bancarias</w:t>
      </w:r>
    </w:p>
    <w:p>
      <w:pPr>
        <w:tabs>
          <w:tab w:val="right" w:pos="9360" w:leader="dot"/>
        </w:tabs>
        <w:spacing w:after="60" w:before="0"/>
        <w:ind w:left="260"/>
      </w:pPr>
      <w:r>
        <w:rPr>
          <w:rFonts w:ascii="Arial" w:cs="Arial" w:eastAsia="Arial" w:hAnsi="Arial"/>
          <w:b w:val="false"/>
          <w:bCs w:val="false"/>
          <w:color w:val="333333"/>
          <w:sz w:val="20"/>
          <w:szCs w:val="20"/>
        </w:rPr>
        <w:t xml:space="preserve">4.1  </w:t>
      </w:r>
      <w:r>
        <w:rPr>
          <w:rFonts w:ascii="Arial" w:cs="Arial" w:eastAsia="Arial" w:hAnsi="Arial"/>
          <w:b w:val="false"/>
          <w:bCs w:val="false"/>
          <w:color w:val="333333"/>
          <w:sz w:val="20"/>
          <w:szCs w:val="20"/>
        </w:rPr>
        <w:t xml:space="preserve">Listado de cuentas</w:t>
      </w:r>
    </w:p>
    <w:p>
      <w:pPr>
        <w:tabs>
          <w:tab w:val="right" w:pos="9360" w:leader="dot"/>
        </w:tabs>
        <w:spacing w:after="60" w:before="0"/>
        <w:ind w:left="260"/>
      </w:pPr>
      <w:r>
        <w:rPr>
          <w:rFonts w:ascii="Arial" w:cs="Arial" w:eastAsia="Arial" w:hAnsi="Arial"/>
          <w:b w:val="false"/>
          <w:bCs w:val="false"/>
          <w:color w:val="333333"/>
          <w:sz w:val="20"/>
          <w:szCs w:val="20"/>
        </w:rPr>
        <w:t xml:space="preserve">4.2  </w:t>
      </w:r>
      <w:r>
        <w:rPr>
          <w:rFonts w:ascii="Arial" w:cs="Arial" w:eastAsia="Arial" w:hAnsi="Arial"/>
          <w:b w:val="false"/>
          <w:bCs w:val="false"/>
          <w:color w:val="333333"/>
          <w:sz w:val="20"/>
          <w:szCs w:val="20"/>
        </w:rPr>
        <w:t xml:space="preserve">Crear una nueva cuenta bancaria</w:t>
      </w:r>
    </w:p>
    <w:p>
      <w:pPr>
        <w:tabs>
          <w:tab w:val="right" w:pos="9360" w:leader="dot"/>
        </w:tabs>
        <w:spacing w:after="60" w:before="0"/>
        <w:ind w:left="260"/>
      </w:pPr>
      <w:r>
        <w:rPr>
          <w:rFonts w:ascii="Arial" w:cs="Arial" w:eastAsia="Arial" w:hAnsi="Arial"/>
          <w:b w:val="false"/>
          <w:bCs w:val="false"/>
          <w:color w:val="333333"/>
          <w:sz w:val="20"/>
          <w:szCs w:val="20"/>
        </w:rPr>
        <w:t xml:space="preserve">4.3  </w:t>
      </w:r>
      <w:r>
        <w:rPr>
          <w:rFonts w:ascii="Arial" w:cs="Arial" w:eastAsia="Arial" w:hAnsi="Arial"/>
          <w:b w:val="false"/>
          <w:bCs w:val="false"/>
          <w:color w:val="333333"/>
          <w:sz w:val="20"/>
          <w:szCs w:val="20"/>
        </w:rPr>
        <w:t xml:space="preserve">Editar una cuenta bancaria</w:t>
      </w:r>
    </w:p>
    <w:p>
      <w:pPr>
        <w:tabs>
          <w:tab w:val="right" w:pos="9360" w:leader="dot"/>
        </w:tabs>
        <w:spacing w:after="60" w:before="0"/>
        <w:ind w:left="260"/>
      </w:pPr>
      <w:r>
        <w:rPr>
          <w:rFonts w:ascii="Arial" w:cs="Arial" w:eastAsia="Arial" w:hAnsi="Arial"/>
          <w:b w:val="false"/>
          <w:bCs w:val="false"/>
          <w:color w:val="333333"/>
          <w:sz w:val="20"/>
          <w:szCs w:val="20"/>
        </w:rPr>
        <w:t xml:space="preserve">4.4  </w:t>
      </w:r>
      <w:r>
        <w:rPr>
          <w:rFonts w:ascii="Arial" w:cs="Arial" w:eastAsia="Arial" w:hAnsi="Arial"/>
          <w:b w:val="false"/>
          <w:bCs w:val="false"/>
          <w:color w:val="333333"/>
          <w:sz w:val="20"/>
          <w:szCs w:val="20"/>
        </w:rPr>
        <w:t xml:space="preserve">Activar / desactivar una cuenta</w:t>
      </w:r>
    </w:p>
    <w:p>
      <w:pPr>
        <w:tabs>
          <w:tab w:val="right" w:pos="9360" w:leader="dot"/>
        </w:tabs>
        <w:spacing w:after="60" w:before="0"/>
        <w:ind w:left="260"/>
      </w:pPr>
      <w:r>
        <w:rPr>
          <w:rFonts w:ascii="Arial" w:cs="Arial" w:eastAsia="Arial" w:hAnsi="Arial"/>
          <w:b w:val="false"/>
          <w:bCs w:val="false"/>
          <w:color w:val="333333"/>
          <w:sz w:val="20"/>
          <w:szCs w:val="20"/>
        </w:rPr>
        <w:t xml:space="preserve">4.5  </w:t>
      </w:r>
      <w:r>
        <w:rPr>
          <w:rFonts w:ascii="Arial" w:cs="Arial" w:eastAsia="Arial" w:hAnsi="Arial"/>
          <w:b w:val="false"/>
          <w:bCs w:val="false"/>
          <w:color w:val="333333"/>
          <w:sz w:val="20"/>
          <w:szCs w:val="20"/>
        </w:rPr>
        <w:t xml:space="preserve">Eliminar una cuenta bancaria</w:t>
      </w:r>
    </w:p>
    <w:p>
      <w:pPr>
        <w:tabs>
          <w:tab w:val="right" w:pos="9360" w:leader="dot"/>
        </w:tabs>
        <w:spacing w:after="60" w:before="0"/>
        <w:ind w:left="260"/>
      </w:pPr>
      <w:r>
        <w:rPr>
          <w:rFonts w:ascii="Arial" w:cs="Arial" w:eastAsia="Arial" w:hAnsi="Arial"/>
          <w:b w:val="false"/>
          <w:bCs w:val="false"/>
          <w:color w:val="333333"/>
          <w:sz w:val="20"/>
          <w:szCs w:val="20"/>
        </w:rPr>
        <w:t xml:space="preserve">4.6  </w:t>
      </w:r>
      <w:r>
        <w:rPr>
          <w:rFonts w:ascii="Arial" w:cs="Arial" w:eastAsia="Arial" w:hAnsi="Arial"/>
          <w:b w:val="false"/>
          <w:bCs w:val="false"/>
          <w:color w:val="333333"/>
          <w:sz w:val="20"/>
          <w:szCs w:val="20"/>
        </w:rPr>
        <w:t xml:space="preserve">Consultar el detalle y los movimientos de una cuenta</w:t>
      </w:r>
    </w:p>
    <w:p>
      <w:pPr>
        <w:tabs>
          <w:tab w:val="right" w:pos="9360" w:leader="dot"/>
        </w:tabs>
        <w:spacing w:after="60" w:before="0"/>
        <w:ind w:left="260"/>
      </w:pPr>
      <w:r>
        <w:rPr>
          <w:rFonts w:ascii="Arial" w:cs="Arial" w:eastAsia="Arial" w:hAnsi="Arial"/>
          <w:b w:val="false"/>
          <w:bCs w:val="false"/>
          <w:color w:val="333333"/>
          <w:sz w:val="20"/>
          <w:szCs w:val="20"/>
        </w:rPr>
        <w:t xml:space="preserve">4.7  </w:t>
      </w:r>
      <w:r>
        <w:rPr>
          <w:rFonts w:ascii="Arial" w:cs="Arial" w:eastAsia="Arial" w:hAnsi="Arial"/>
          <w:b w:val="false"/>
          <w:bCs w:val="false"/>
          <w:color w:val="333333"/>
          <w:sz w:val="20"/>
          <w:szCs w:val="20"/>
        </w:rPr>
        <w:t xml:space="preserve">Registrar un abono manual</w:t>
      </w:r>
    </w:p>
    <w:p>
      <w:pPr>
        <w:tabs>
          <w:tab w:val="right" w:pos="9360" w:leader="dot"/>
        </w:tabs>
        <w:spacing w:after="100" w:before="140"/>
        <w:ind w:left="0"/>
      </w:pPr>
      <w:r>
        <w:rPr>
          <w:rFonts w:ascii="Arial" w:cs="Arial" w:eastAsia="Arial" w:hAnsi="Arial"/>
          <w:b/>
          <w:bCs/>
          <w:color w:val="1E3A5F"/>
          <w:sz w:val="22"/>
          <w:szCs w:val="22"/>
        </w:rPr>
        <w:t xml:space="preserve">5.  </w:t>
      </w:r>
      <w:r>
        <w:rPr>
          <w:rFonts w:ascii="Arial" w:cs="Arial" w:eastAsia="Arial" w:hAnsi="Arial"/>
          <w:b/>
          <w:bCs/>
          <w:color w:val="1E3A5F"/>
          <w:sz w:val="22"/>
          <w:szCs w:val="22"/>
        </w:rPr>
        <w:t xml:space="preserve">Cuentas por Pagar (CXP)</w:t>
      </w:r>
    </w:p>
    <w:p>
      <w:pPr>
        <w:tabs>
          <w:tab w:val="right" w:pos="9360" w:leader="dot"/>
        </w:tabs>
        <w:spacing w:after="60" w:before="0"/>
        <w:ind w:left="260"/>
      </w:pPr>
      <w:r>
        <w:rPr>
          <w:rFonts w:ascii="Arial" w:cs="Arial" w:eastAsia="Arial" w:hAnsi="Arial"/>
          <w:b w:val="false"/>
          <w:bCs w:val="false"/>
          <w:color w:val="333333"/>
          <w:sz w:val="20"/>
          <w:szCs w:val="20"/>
        </w:rPr>
        <w:t xml:space="preserve">5.1  </w:t>
      </w:r>
      <w:r>
        <w:rPr>
          <w:rFonts w:ascii="Arial" w:cs="Arial" w:eastAsia="Arial" w:hAnsi="Arial"/>
          <w:b w:val="false"/>
          <w:bCs w:val="false"/>
          <w:color w:val="333333"/>
          <w:sz w:val="20"/>
          <w:szCs w:val="20"/>
        </w:rPr>
        <w:t xml:space="preserve">Qué muestra esta pantalla</w:t>
      </w:r>
    </w:p>
    <w:p>
      <w:pPr>
        <w:tabs>
          <w:tab w:val="right" w:pos="9360" w:leader="dot"/>
        </w:tabs>
        <w:spacing w:after="60" w:before="0"/>
        <w:ind w:left="260"/>
      </w:pPr>
      <w:r>
        <w:rPr>
          <w:rFonts w:ascii="Arial" w:cs="Arial" w:eastAsia="Arial" w:hAnsi="Arial"/>
          <w:b w:val="false"/>
          <w:bCs w:val="false"/>
          <w:color w:val="333333"/>
          <w:sz w:val="20"/>
          <w:szCs w:val="20"/>
        </w:rPr>
        <w:t xml:space="preserve">5.2  </w:t>
      </w:r>
      <w:r>
        <w:rPr>
          <w:rFonts w:ascii="Arial" w:cs="Arial" w:eastAsia="Arial" w:hAnsi="Arial"/>
          <w:b w:val="false"/>
          <w:bCs w:val="false"/>
          <w:color w:val="333333"/>
          <w:sz w:val="20"/>
          <w:szCs w:val="20"/>
        </w:rPr>
        <w:t xml:space="preserve">Indicadores (KPIs)</w:t>
      </w:r>
    </w:p>
    <w:p>
      <w:pPr>
        <w:tabs>
          <w:tab w:val="right" w:pos="9360" w:leader="dot"/>
        </w:tabs>
        <w:spacing w:after="60" w:before="0"/>
        <w:ind w:left="260"/>
      </w:pPr>
      <w:r>
        <w:rPr>
          <w:rFonts w:ascii="Arial" w:cs="Arial" w:eastAsia="Arial" w:hAnsi="Arial"/>
          <w:b w:val="false"/>
          <w:bCs w:val="false"/>
          <w:color w:val="333333"/>
          <w:sz w:val="20"/>
          <w:szCs w:val="20"/>
        </w:rPr>
        <w:t xml:space="preserve">5.3  </w:t>
      </w:r>
      <w:r>
        <w:rPr>
          <w:rFonts w:ascii="Arial" w:cs="Arial" w:eastAsia="Arial" w:hAnsi="Arial"/>
          <w:b w:val="false"/>
          <w:bCs w:val="false"/>
          <w:color w:val="333333"/>
          <w:sz w:val="20"/>
          <w:szCs w:val="20"/>
        </w:rPr>
        <w:t xml:space="preserve">Pestaña Programación de Pago</w:t>
      </w:r>
    </w:p>
    <w:p>
      <w:pPr>
        <w:tabs>
          <w:tab w:val="right" w:pos="9360" w:leader="dot"/>
        </w:tabs>
        <w:spacing w:after="60" w:before="0"/>
        <w:ind w:left="260"/>
      </w:pPr>
      <w:r>
        <w:rPr>
          <w:rFonts w:ascii="Arial" w:cs="Arial" w:eastAsia="Arial" w:hAnsi="Arial"/>
          <w:b w:val="false"/>
          <w:bCs w:val="false"/>
          <w:color w:val="333333"/>
          <w:sz w:val="20"/>
          <w:szCs w:val="20"/>
        </w:rPr>
        <w:t xml:space="preserve">5.4  </w:t>
      </w:r>
      <w:r>
        <w:rPr>
          <w:rFonts w:ascii="Arial" w:cs="Arial" w:eastAsia="Arial" w:hAnsi="Arial"/>
          <w:b w:val="false"/>
          <w:bCs w:val="false"/>
          <w:color w:val="333333"/>
          <w:sz w:val="20"/>
          <w:szCs w:val="20"/>
        </w:rPr>
        <w:t xml:space="preserve">Pestaña Por Proveedor</w:t>
      </w:r>
    </w:p>
    <w:p>
      <w:pPr>
        <w:tabs>
          <w:tab w:val="right" w:pos="9360" w:leader="dot"/>
        </w:tabs>
        <w:spacing w:after="60" w:before="0"/>
        <w:ind w:left="260"/>
      </w:pPr>
      <w:r>
        <w:rPr>
          <w:rFonts w:ascii="Arial" w:cs="Arial" w:eastAsia="Arial" w:hAnsi="Arial"/>
          <w:b w:val="false"/>
          <w:bCs w:val="false"/>
          <w:color w:val="333333"/>
          <w:sz w:val="20"/>
          <w:szCs w:val="20"/>
        </w:rPr>
        <w:t xml:space="preserve">5.5  </w:t>
      </w:r>
      <w:r>
        <w:rPr>
          <w:rFonts w:ascii="Arial" w:cs="Arial" w:eastAsia="Arial" w:hAnsi="Arial"/>
          <w:b w:val="false"/>
          <w:bCs w:val="false"/>
          <w:color w:val="333333"/>
          <w:sz w:val="20"/>
          <w:szCs w:val="20"/>
        </w:rPr>
        <w:t xml:space="preserve">Pestaña Antigüedad de Saldos</w:t>
      </w:r>
    </w:p>
    <w:p>
      <w:pPr>
        <w:tabs>
          <w:tab w:val="right" w:pos="9360" w:leader="dot"/>
        </w:tabs>
        <w:spacing w:after="60" w:before="0"/>
        <w:ind w:left="260"/>
      </w:pPr>
      <w:r>
        <w:rPr>
          <w:rFonts w:ascii="Arial" w:cs="Arial" w:eastAsia="Arial" w:hAnsi="Arial"/>
          <w:b w:val="false"/>
          <w:bCs w:val="false"/>
          <w:color w:val="333333"/>
          <w:sz w:val="20"/>
          <w:szCs w:val="20"/>
        </w:rPr>
        <w:t xml:space="preserve">5.6  </w:t>
      </w:r>
      <w:r>
        <w:rPr>
          <w:rFonts w:ascii="Arial" w:cs="Arial" w:eastAsia="Arial" w:hAnsi="Arial"/>
          <w:b w:val="false"/>
          <w:bCs w:val="false"/>
          <w:color w:val="333333"/>
          <w:sz w:val="20"/>
          <w:szCs w:val="20"/>
        </w:rPr>
        <w:t xml:space="preserve">Consultar el detalle de una Orden de Pago</w:t>
      </w:r>
    </w:p>
    <w:p>
      <w:pPr>
        <w:tabs>
          <w:tab w:val="right" w:pos="9360" w:leader="dot"/>
        </w:tabs>
        <w:spacing w:after="60" w:before="0"/>
        <w:ind w:left="260"/>
      </w:pPr>
      <w:r>
        <w:rPr>
          <w:rFonts w:ascii="Arial" w:cs="Arial" w:eastAsia="Arial" w:hAnsi="Arial"/>
          <w:b w:val="false"/>
          <w:bCs w:val="false"/>
          <w:color w:val="333333"/>
          <w:sz w:val="20"/>
          <w:szCs w:val="20"/>
        </w:rPr>
        <w:t xml:space="preserve">5.7  </w:t>
      </w:r>
      <w:r>
        <w:rPr>
          <w:rFonts w:ascii="Arial" w:cs="Arial" w:eastAsia="Arial" w:hAnsi="Arial"/>
          <w:b w:val="false"/>
          <w:bCs w:val="false"/>
          <w:color w:val="333333"/>
          <w:sz w:val="20"/>
          <w:szCs w:val="20"/>
        </w:rPr>
        <w:t xml:space="preserve">Registrar un pago (abono) a una Orden de Pago</w:t>
      </w:r>
    </w:p>
    <w:p>
      <w:pPr>
        <w:tabs>
          <w:tab w:val="right" w:pos="9360" w:leader="dot"/>
        </w:tabs>
        <w:spacing w:after="100" w:before="140"/>
        <w:ind w:left="0"/>
      </w:pPr>
      <w:r>
        <w:rPr>
          <w:rFonts w:ascii="Arial" w:cs="Arial" w:eastAsia="Arial" w:hAnsi="Arial"/>
          <w:b/>
          <w:bCs/>
          <w:color w:val="1E3A5F"/>
          <w:sz w:val="22"/>
          <w:szCs w:val="22"/>
        </w:rPr>
        <w:t xml:space="preserve">6.  </w:t>
      </w:r>
      <w:r>
        <w:rPr>
          <w:rFonts w:ascii="Arial" w:cs="Arial" w:eastAsia="Arial" w:hAnsi="Arial"/>
          <w:b/>
          <w:bCs/>
          <w:color w:val="1E3A5F"/>
          <w:sz w:val="22"/>
          <w:szCs w:val="22"/>
        </w:rPr>
        <w:t xml:space="preserve">Reporte de Órdenes de Pago por Centro de Costo / Área</w:t>
      </w:r>
    </w:p>
    <w:p>
      <w:pPr>
        <w:tabs>
          <w:tab w:val="right" w:pos="9360" w:leader="dot"/>
        </w:tabs>
        <w:spacing w:after="60" w:before="0"/>
        <w:ind w:left="260"/>
      </w:pPr>
      <w:r>
        <w:rPr>
          <w:rFonts w:ascii="Arial" w:cs="Arial" w:eastAsia="Arial" w:hAnsi="Arial"/>
          <w:b w:val="false"/>
          <w:bCs w:val="false"/>
          <w:color w:val="333333"/>
          <w:sz w:val="20"/>
          <w:szCs w:val="20"/>
        </w:rPr>
        <w:t xml:space="preserve">6.1  </w:t>
      </w:r>
      <w:r>
        <w:rPr>
          <w:rFonts w:ascii="Arial" w:cs="Arial" w:eastAsia="Arial" w:hAnsi="Arial"/>
          <w:b w:val="false"/>
          <w:bCs w:val="false"/>
          <w:color w:val="333333"/>
          <w:sz w:val="20"/>
          <w:szCs w:val="20"/>
        </w:rPr>
        <w:t xml:space="preserve">Cómo acceder</w:t>
      </w:r>
    </w:p>
    <w:p>
      <w:pPr>
        <w:tabs>
          <w:tab w:val="right" w:pos="9360" w:leader="dot"/>
        </w:tabs>
        <w:spacing w:after="60" w:before="0"/>
        <w:ind w:left="260"/>
      </w:pPr>
      <w:r>
        <w:rPr>
          <w:rFonts w:ascii="Arial" w:cs="Arial" w:eastAsia="Arial" w:hAnsi="Arial"/>
          <w:b w:val="false"/>
          <w:bCs w:val="false"/>
          <w:color w:val="333333"/>
          <w:sz w:val="20"/>
          <w:szCs w:val="20"/>
        </w:rPr>
        <w:t xml:space="preserve">6.2  </w:t>
      </w:r>
      <w:r>
        <w:rPr>
          <w:rFonts w:ascii="Arial" w:cs="Arial" w:eastAsia="Arial" w:hAnsi="Arial"/>
          <w:b w:val="false"/>
          <w:bCs w:val="false"/>
          <w:color w:val="333333"/>
          <w:sz w:val="20"/>
          <w:szCs w:val="20"/>
        </w:rPr>
        <w:t xml:space="preserve">Filtros disponibles</w:t>
      </w:r>
    </w:p>
    <w:p>
      <w:pPr>
        <w:tabs>
          <w:tab w:val="right" w:pos="9360" w:leader="dot"/>
        </w:tabs>
        <w:spacing w:after="60" w:before="0"/>
        <w:ind w:left="260"/>
      </w:pPr>
      <w:r>
        <w:rPr>
          <w:rFonts w:ascii="Arial" w:cs="Arial" w:eastAsia="Arial" w:hAnsi="Arial"/>
          <w:b w:val="false"/>
          <w:bCs w:val="false"/>
          <w:color w:val="333333"/>
          <w:sz w:val="20"/>
          <w:szCs w:val="20"/>
        </w:rPr>
        <w:t xml:space="preserve">6.3  </w:t>
      </w:r>
      <w:r>
        <w:rPr>
          <w:rFonts w:ascii="Arial" w:cs="Arial" w:eastAsia="Arial" w:hAnsi="Arial"/>
          <w:b w:val="false"/>
          <w:bCs w:val="false"/>
          <w:color w:val="333333"/>
          <w:sz w:val="20"/>
          <w:szCs w:val="20"/>
        </w:rPr>
        <w:t xml:space="preserve">Indicadores (KPIs)</w:t>
      </w:r>
    </w:p>
    <w:p>
      <w:pPr>
        <w:tabs>
          <w:tab w:val="right" w:pos="9360" w:leader="dot"/>
        </w:tabs>
        <w:spacing w:after="60" w:before="0"/>
        <w:ind w:left="260"/>
      </w:pPr>
      <w:r>
        <w:rPr>
          <w:rFonts w:ascii="Arial" w:cs="Arial" w:eastAsia="Arial" w:hAnsi="Arial"/>
          <w:b w:val="false"/>
          <w:bCs w:val="false"/>
          <w:color w:val="333333"/>
          <w:sz w:val="20"/>
          <w:szCs w:val="20"/>
        </w:rPr>
        <w:t xml:space="preserve">6.4  </w:t>
      </w:r>
      <w:r>
        <w:rPr>
          <w:rFonts w:ascii="Arial" w:cs="Arial" w:eastAsia="Arial" w:hAnsi="Arial"/>
          <w:b w:val="false"/>
          <w:bCs w:val="false"/>
          <w:color w:val="333333"/>
          <w:sz w:val="20"/>
          <w:szCs w:val="20"/>
        </w:rPr>
        <w:t xml:space="preserve">Vista Jerárquica</w:t>
      </w:r>
    </w:p>
    <w:p>
      <w:pPr>
        <w:tabs>
          <w:tab w:val="right" w:pos="9360" w:leader="dot"/>
        </w:tabs>
        <w:spacing w:after="60" w:before="0"/>
        <w:ind w:left="260"/>
      </w:pPr>
      <w:r>
        <w:rPr>
          <w:rFonts w:ascii="Arial" w:cs="Arial" w:eastAsia="Arial" w:hAnsi="Arial"/>
          <w:b w:val="false"/>
          <w:bCs w:val="false"/>
          <w:color w:val="333333"/>
          <w:sz w:val="20"/>
          <w:szCs w:val="20"/>
        </w:rPr>
        <w:t xml:space="preserve">6.5  </w:t>
      </w:r>
      <w:r>
        <w:rPr>
          <w:rFonts w:ascii="Arial" w:cs="Arial" w:eastAsia="Arial" w:hAnsi="Arial"/>
          <w:b w:val="false"/>
          <w:bCs w:val="false"/>
          <w:color w:val="333333"/>
          <w:sz w:val="20"/>
          <w:szCs w:val="20"/>
        </w:rPr>
        <w:t xml:space="preserve">Vista Matriz CC × Área</w:t>
      </w:r>
    </w:p>
    <w:p>
      <w:pPr>
        <w:tabs>
          <w:tab w:val="right" w:pos="9360" w:leader="dot"/>
        </w:tabs>
        <w:spacing w:after="60" w:before="0"/>
        <w:ind w:left="260"/>
      </w:pPr>
      <w:r>
        <w:rPr>
          <w:rFonts w:ascii="Arial" w:cs="Arial" w:eastAsia="Arial" w:hAnsi="Arial"/>
          <w:b w:val="false"/>
          <w:bCs w:val="false"/>
          <w:color w:val="333333"/>
          <w:sz w:val="20"/>
          <w:szCs w:val="20"/>
        </w:rPr>
        <w:t xml:space="preserve">6.6  </w:t>
      </w:r>
      <w:r>
        <w:rPr>
          <w:rFonts w:ascii="Arial" w:cs="Arial" w:eastAsia="Arial" w:hAnsi="Arial"/>
          <w:b w:val="false"/>
          <w:bCs w:val="false"/>
          <w:color w:val="333333"/>
          <w:sz w:val="20"/>
          <w:szCs w:val="20"/>
        </w:rPr>
        <w:t xml:space="preserve">Exportar a Excel</w:t>
      </w:r>
    </w:p>
    <w:p>
      <w:pPr>
        <w:tabs>
          <w:tab w:val="right" w:pos="9360" w:leader="dot"/>
        </w:tabs>
        <w:spacing w:after="100" w:before="140"/>
        <w:ind w:left="0"/>
      </w:pPr>
      <w:r>
        <w:rPr>
          <w:rFonts w:ascii="Arial" w:cs="Arial" w:eastAsia="Arial" w:hAnsi="Arial"/>
          <w:b/>
          <w:bCs/>
          <w:color w:val="1E3A5F"/>
          <w:sz w:val="22"/>
          <w:szCs w:val="22"/>
        </w:rPr>
        <w:t xml:space="preserve">7.  </w:t>
      </w:r>
      <w:r>
        <w:rPr>
          <w:rFonts w:ascii="Arial" w:cs="Arial" w:eastAsia="Arial" w:hAnsi="Arial"/>
          <w:b/>
          <w:bCs/>
          <w:color w:val="1E3A5F"/>
          <w:sz w:val="22"/>
          <w:szCs w:val="22"/>
        </w:rPr>
        <w:t xml:space="preserve">Reporte de Antigüedad de Órdenes de Pago por Centro de Costo / Área</w:t>
      </w:r>
    </w:p>
    <w:p>
      <w:pPr>
        <w:tabs>
          <w:tab w:val="right" w:pos="9360" w:leader="dot"/>
        </w:tabs>
        <w:spacing w:after="60" w:before="0"/>
        <w:ind w:left="260"/>
      </w:pPr>
      <w:r>
        <w:rPr>
          <w:rFonts w:ascii="Arial" w:cs="Arial" w:eastAsia="Arial" w:hAnsi="Arial"/>
          <w:b w:val="false"/>
          <w:bCs w:val="false"/>
          <w:color w:val="333333"/>
          <w:sz w:val="20"/>
          <w:szCs w:val="20"/>
        </w:rPr>
        <w:t xml:space="preserve">7.1  </w:t>
      </w:r>
      <w:r>
        <w:rPr>
          <w:rFonts w:ascii="Arial" w:cs="Arial" w:eastAsia="Arial" w:hAnsi="Arial"/>
          <w:b w:val="false"/>
          <w:bCs w:val="false"/>
          <w:color w:val="333333"/>
          <w:sz w:val="20"/>
          <w:szCs w:val="20"/>
        </w:rPr>
        <w:t xml:space="preserve">Cómo acceder</w:t>
      </w:r>
    </w:p>
    <w:p>
      <w:pPr>
        <w:tabs>
          <w:tab w:val="right" w:pos="9360" w:leader="dot"/>
        </w:tabs>
        <w:spacing w:after="60" w:before="0"/>
        <w:ind w:left="260"/>
      </w:pPr>
      <w:r>
        <w:rPr>
          <w:rFonts w:ascii="Arial" w:cs="Arial" w:eastAsia="Arial" w:hAnsi="Arial"/>
          <w:b w:val="false"/>
          <w:bCs w:val="false"/>
          <w:color w:val="333333"/>
          <w:sz w:val="20"/>
          <w:szCs w:val="20"/>
        </w:rPr>
        <w:t xml:space="preserve">7.2  </w:t>
      </w:r>
      <w:r>
        <w:rPr>
          <w:rFonts w:ascii="Arial" w:cs="Arial" w:eastAsia="Arial" w:hAnsi="Arial"/>
          <w:b w:val="false"/>
          <w:bCs w:val="false"/>
          <w:color w:val="333333"/>
          <w:sz w:val="20"/>
          <w:szCs w:val="20"/>
        </w:rPr>
        <w:t xml:space="preserve">Bandas de antigüedad</w:t>
      </w:r>
    </w:p>
    <w:p>
      <w:pPr>
        <w:tabs>
          <w:tab w:val="right" w:pos="9360" w:leader="dot"/>
        </w:tabs>
        <w:spacing w:after="60" w:before="0"/>
        <w:ind w:left="260"/>
      </w:pPr>
      <w:r>
        <w:rPr>
          <w:rFonts w:ascii="Arial" w:cs="Arial" w:eastAsia="Arial" w:hAnsi="Arial"/>
          <w:b w:val="false"/>
          <w:bCs w:val="false"/>
          <w:color w:val="333333"/>
          <w:sz w:val="20"/>
          <w:szCs w:val="20"/>
        </w:rPr>
        <w:t xml:space="preserve">7.3  </w:t>
      </w:r>
      <w:r>
        <w:rPr>
          <w:rFonts w:ascii="Arial" w:cs="Arial" w:eastAsia="Arial" w:hAnsi="Arial"/>
          <w:b w:val="false"/>
          <w:bCs w:val="false"/>
          <w:color w:val="333333"/>
          <w:sz w:val="20"/>
          <w:szCs w:val="20"/>
        </w:rPr>
        <w:t xml:space="preserve">Filtros disponibles</w:t>
      </w:r>
    </w:p>
    <w:p>
      <w:pPr>
        <w:tabs>
          <w:tab w:val="right" w:pos="9360" w:leader="dot"/>
        </w:tabs>
        <w:spacing w:after="60" w:before="0"/>
        <w:ind w:left="260"/>
      </w:pPr>
      <w:r>
        <w:rPr>
          <w:rFonts w:ascii="Arial" w:cs="Arial" w:eastAsia="Arial" w:hAnsi="Arial"/>
          <w:b w:val="false"/>
          <w:bCs w:val="false"/>
          <w:color w:val="333333"/>
          <w:sz w:val="20"/>
          <w:szCs w:val="20"/>
        </w:rPr>
        <w:t xml:space="preserve">7.4  </w:t>
      </w:r>
      <w:r>
        <w:rPr>
          <w:rFonts w:ascii="Arial" w:cs="Arial" w:eastAsia="Arial" w:hAnsi="Arial"/>
          <w:b w:val="false"/>
          <w:bCs w:val="false"/>
          <w:color w:val="333333"/>
          <w:sz w:val="20"/>
          <w:szCs w:val="20"/>
        </w:rPr>
        <w:t xml:space="preserve">Indicadores (KPIs)</w:t>
      </w:r>
    </w:p>
    <w:p>
      <w:pPr>
        <w:tabs>
          <w:tab w:val="right" w:pos="9360" w:leader="dot"/>
        </w:tabs>
        <w:spacing w:after="60" w:before="0"/>
        <w:ind w:left="260"/>
      </w:pPr>
      <w:r>
        <w:rPr>
          <w:rFonts w:ascii="Arial" w:cs="Arial" w:eastAsia="Arial" w:hAnsi="Arial"/>
          <w:b w:val="false"/>
          <w:bCs w:val="false"/>
          <w:color w:val="333333"/>
          <w:sz w:val="20"/>
          <w:szCs w:val="20"/>
        </w:rPr>
        <w:t xml:space="preserve">7.5  </w:t>
      </w:r>
      <w:r>
        <w:rPr>
          <w:rFonts w:ascii="Arial" w:cs="Arial" w:eastAsia="Arial" w:hAnsi="Arial"/>
          <w:b w:val="false"/>
          <w:bCs w:val="false"/>
          <w:color w:val="333333"/>
          <w:sz w:val="20"/>
          <w:szCs w:val="20"/>
        </w:rPr>
        <w:t xml:space="preserve">Lectura del reporte</w:t>
      </w:r>
    </w:p>
    <w:p>
      <w:pPr>
        <w:tabs>
          <w:tab w:val="right" w:pos="9360" w:leader="dot"/>
        </w:tabs>
        <w:spacing w:after="100" w:before="140"/>
        <w:ind w:left="0"/>
      </w:pPr>
      <w:r>
        <w:rPr>
          <w:rFonts w:ascii="Arial" w:cs="Arial" w:eastAsia="Arial" w:hAnsi="Arial"/>
          <w:b/>
          <w:bCs/>
          <w:color w:val="1E3A5F"/>
          <w:sz w:val="22"/>
          <w:szCs w:val="22"/>
        </w:rPr>
        <w:t xml:space="preserve">8.  </w:t>
      </w:r>
      <w:r>
        <w:rPr>
          <w:rFonts w:ascii="Arial" w:cs="Arial" w:eastAsia="Arial" w:hAnsi="Arial"/>
          <w:b/>
          <w:bCs/>
          <w:color w:val="1E3A5F"/>
          <w:sz w:val="22"/>
          <w:szCs w:val="22"/>
        </w:rPr>
        <w:t xml:space="preserve">Preguntas Frecuentes y Solución de Problemas</w:t>
      </w:r>
    </w:p>
    <w:p>
      <w:r>
        <w:br w:type="page"/>
      </w:r>
    </w:p>
    <w:p>
      <w:pPr>
        <w:pStyle w:val="Heading1"/>
        <w:spacing w:after="220" w:before="0"/>
      </w:pPr>
      <w:r>
        <w:rPr>
          <w:rFonts w:ascii="Arial" w:cs="Arial" w:eastAsia="Arial" w:hAnsi="Arial"/>
          <w:b/>
          <w:bCs/>
          <w:color w:val="1E3A5F"/>
          <w:sz w:val="34"/>
          <w:szCs w:val="34"/>
        </w:rPr>
        <w:t xml:space="preserve">1. Introducción al Módulo de Tesorería</w:t>
      </w:r>
    </w:p>
    <w:p>
      <w:pPr>
        <w:pStyle w:val="Heading2"/>
        <w:spacing w:after="160" w:before="320"/>
      </w:pPr>
      <w:r>
        <w:rPr>
          <w:rFonts w:ascii="Arial" w:cs="Arial" w:eastAsia="Arial" w:hAnsi="Arial"/>
          <w:b/>
          <w:bCs/>
          <w:color w:val="2563EB"/>
          <w:sz w:val="27"/>
          <w:szCs w:val="27"/>
        </w:rPr>
        <w:t xml:space="preserve">1.1 Qué es Tesorería en DomusOne</w:t>
      </w:r>
    </w:p>
    <w:p>
      <w:pPr>
        <w:spacing w:after="160" w:before="0" w:line="276"/>
      </w:pPr>
      <w:r>
        <w:rPr>
          <w:rFonts w:ascii="Arial" w:cs="Arial" w:eastAsia="Arial" w:hAnsi="Arial"/>
          <w:sz w:val="21"/>
          <w:szCs w:val="21"/>
        </w:rPr>
        <w:t xml:space="preserve">El módulo de Tesorería es el punto central de DomusOne para consultar y controlar el dinero de la organización: cuánto debes, cuánto tienes en el banco y qué compromisos están por vencer. Desde aquí NO se generan las Órdenes de Pago (eso ocurre en el módulo de Compras), pero sí se realiza toda la operación posterior: revisar los saldos pendientes, dar seguimiento a los vencimientos, registrar los pagos y llevar el control de las cuentas bancarias.</w:t>
      </w:r>
    </w:p>
    <w:p>
      <w:pPr>
        <w:spacing w:after="160" w:before="0" w:line="276"/>
      </w:pPr>
      <w:r>
        <w:rPr>
          <w:rFonts w:ascii="Arial" w:cs="Arial" w:eastAsia="Arial" w:hAnsi="Arial"/>
          <w:sz w:val="21"/>
          <w:szCs w:val="21"/>
        </w:rPr>
        <w:t xml:space="preserve">El módulo se organiza en dos pantallas principales:</w:t>
      </w:r>
    </w:p>
    <w:p>
      <w:pPr>
        <w:pStyle w:val="ListParagraph"/>
        <w:numPr>
          <w:ilvl w:val="0"/>
          <w:numId w:val="2"/>
        </w:numPr>
        <w:spacing w:after="80"/>
      </w:pPr>
      <w:r>
        <w:rPr>
          <w:rFonts w:ascii="Arial" w:cs="Arial" w:eastAsia="Arial" w:hAnsi="Arial"/>
          <w:sz w:val="21"/>
          <w:szCs w:val="21"/>
        </w:rPr>
        <w:t xml:space="preserve">Cuentas por Pagar (CXP) — saldos por Orden de Pago, agrupados por proveedor, por ciclo de pago semanal y por antigüedad de vencimiento; aquí se registran los pagos.</w:t>
      </w:r>
    </w:p>
    <w:p>
      <w:pPr>
        <w:pStyle w:val="ListParagraph"/>
        <w:numPr>
          <w:ilvl w:val="0"/>
          <w:numId w:val="2"/>
        </w:numPr>
        <w:spacing w:after="80"/>
      </w:pPr>
      <w:r>
        <w:rPr>
          <w:rFonts w:ascii="Arial" w:cs="Arial" w:eastAsia="Arial" w:hAnsi="Arial"/>
          <w:sz w:val="21"/>
          <w:szCs w:val="21"/>
        </w:rPr>
        <w:t xml:space="preserve">Cuentas Bancarias — catálogo de cuentas del organismo, con su saldo actual y el historial completo de movimientos (cargos y abonos).</w:t>
      </w:r>
    </w:p>
    <w:p>
      <w:pPr>
        <w:spacing w:after="160" w:before="0" w:line="276"/>
      </w:pPr>
      <w:r>
        <w:rPr>
          <w:rFonts w:ascii="Arial" w:cs="Arial" w:eastAsia="Arial" w:hAnsi="Arial"/>
          <w:sz w:val="21"/>
          <w:szCs w:val="21"/>
        </w:rPr>
        <w:t xml:space="preserve">Además, desde el menú de Reportes encontrarás dos reportes especializados de Órdenes de Pago (por Centro de Costo/Área y por Antigüedad) que se documentan en los capítulos 6 y 7 de este manual.</w:t>
      </w:r>
    </w:p>
    <w:p>
      <w:pPr>
        <w:pStyle w:val="Heading2"/>
        <w:spacing w:after="160" w:before="320"/>
      </w:pPr>
      <w:r>
        <w:rPr>
          <w:rFonts w:ascii="Arial" w:cs="Arial" w:eastAsia="Arial" w:hAnsi="Arial"/>
          <w:b/>
          <w:bCs/>
          <w:color w:val="2563EB"/>
          <w:sz w:val="27"/>
          <w:szCs w:val="27"/>
        </w:rPr>
        <w:t xml:space="preserve">1.2 Relación con el módulo de Compras (flujo del dinero)</w:t>
      </w:r>
    </w:p>
    <w:p>
      <w:pPr>
        <w:spacing w:after="160" w:before="0" w:line="276"/>
      </w:pPr>
      <w:r>
        <w:rPr>
          <w:rFonts w:ascii="Arial" w:cs="Arial" w:eastAsia="Arial" w:hAnsi="Arial"/>
          <w:sz w:val="21"/>
          <w:szCs w:val="21"/>
        </w:rPr>
        <w:t xml:space="preserve">Toda Orden de Pago (OP) que ves en Tesorería nace en el módulo de Compras. Es importante entender el recorrido completo para saber por qué un documento aparece — o no aparece — en Cuentas por Pagar:</w:t>
      </w:r>
    </w:p>
    <w:p>
      <w:pPr>
        <w:spacing w:after="100" w:before="0" w:line="264"/>
        <w:ind w:left="420" w:hanging="420"/>
      </w:pPr>
      <w:r>
        <w:rPr>
          <w:rFonts w:ascii="Arial" w:cs="Arial" w:eastAsia="Arial" w:hAnsi="Arial"/>
          <w:b/>
          <w:bCs/>
          <w:color w:val="2563EB"/>
          <w:sz w:val="21"/>
          <w:szCs w:val="21"/>
        </w:rPr>
        <w:t xml:space="preserve">1.  </w:t>
      </w:r>
      <w:r>
        <w:rPr>
          <w:rFonts w:ascii="Arial" w:cs="Arial" w:eastAsia="Arial" w:hAnsi="Arial"/>
          <w:sz w:val="21"/>
          <w:szCs w:val="21"/>
        </w:rPr>
        <w:t xml:space="preserve">Con Orden de Compra (OC): una compra sigue la cadena Requisición → Cotización → Orden de Compra autorizada. Al generar la Orden de Pago vinculada a esa OC, la OP entra directamente a Tesorería con status "Pendiente" — no requiere una autorización adicional, porque la OC ya fue autorizada antes.</w:t>
      </w:r>
    </w:p>
    <w:p>
      <w:pPr>
        <w:spacing w:after="100" w:before="0" w:line="264"/>
        <w:ind w:left="420" w:hanging="420"/>
      </w:pPr>
      <w:r>
        <w:rPr>
          <w:rFonts w:ascii="Arial" w:cs="Arial" w:eastAsia="Arial" w:hAnsi="Arial"/>
          <w:b/>
          <w:bCs/>
          <w:color w:val="2563EB"/>
          <w:sz w:val="21"/>
          <w:szCs w:val="21"/>
        </w:rPr>
        <w:t xml:space="preserve">2.  </w:t>
      </w:r>
      <w:r>
        <w:rPr>
          <w:rFonts w:ascii="Arial" w:cs="Arial" w:eastAsia="Arial" w:hAnsi="Arial"/>
          <w:sz w:val="21"/>
          <w:szCs w:val="21"/>
        </w:rPr>
        <w:t xml:space="preserve">Sin Orden de Compra: para servicios, honorarios, arrendamientos u otros gastos que no pasan por el flujo de compras (por ejemplo, luz, agua, nómina), la Orden de Pago se crea directamente con status "Pendiente Auth" (Pendiente de Autorización). Mientras tenga este status, NO aparece en Cuentas por Pagar.</w:t>
      </w:r>
    </w:p>
    <w:p>
      <w:pPr>
        <w:spacing w:after="100" w:before="0" w:line="264"/>
        <w:ind w:left="420" w:hanging="420"/>
      </w:pPr>
      <w:r>
        <w:rPr>
          <w:rFonts w:ascii="Arial" w:cs="Arial" w:eastAsia="Arial" w:hAnsi="Arial"/>
          <w:b/>
          <w:bCs/>
          <w:color w:val="2563EB"/>
          <w:sz w:val="21"/>
          <w:szCs w:val="21"/>
        </w:rPr>
        <w:t xml:space="preserve">3.  </w:t>
      </w:r>
      <w:r>
        <w:rPr>
          <w:rFonts w:ascii="Arial" w:cs="Arial" w:eastAsia="Arial" w:hAnsi="Arial"/>
          <w:sz w:val="21"/>
          <w:szCs w:val="21"/>
        </w:rPr>
        <w:t xml:space="preserve">Un usuario con permiso de autorización revisa la Orden de Pago sin OC y la Aprueba (pasa a "Pendiente", entra a CXP) o la Rechaza (pasa a "Rechazada" y queda fuera del flujo). Esta autorización se realiza desde el módulo de Compras — ver el capítulo 2 para saber qué roles pueden hacerlo.</w:t>
      </w:r>
    </w:p>
    <w:p>
      <w:pPr>
        <w:spacing w:after="100" w:before="0" w:line="264"/>
        <w:ind w:left="420" w:hanging="420"/>
      </w:pPr>
      <w:r>
        <w:rPr>
          <w:rFonts w:ascii="Arial" w:cs="Arial" w:eastAsia="Arial" w:hAnsi="Arial"/>
          <w:b/>
          <w:bCs/>
          <w:color w:val="2563EB"/>
          <w:sz w:val="21"/>
          <w:szCs w:val="21"/>
        </w:rPr>
        <w:t xml:space="preserve">4.  </w:t>
      </w:r>
      <w:r>
        <w:rPr>
          <w:rFonts w:ascii="Arial" w:cs="Arial" w:eastAsia="Arial" w:hAnsi="Arial"/>
          <w:sz w:val="21"/>
          <w:szCs w:val="21"/>
        </w:rPr>
        <w:t xml:space="preserve">Una vez que la Orden de Pago está en status "Pendiente" o "Abonada", Tesorería la controla: la ves en Cuentas por Pagar, das seguimiento a su vencimiento y registras los pagos hasta saldarla (status "Pagada").</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Si buscas una Orden de Pago recién capturada y no la encuentras en Cuentas por Pagar, lo más probable es que siga en status "Pendiente Auth" (esperando autorización) o haya sido "Rechazada" — ambos casos se gestionan desde Compras, no desde Tesorería.</w:t>
      </w:r>
    </w:p>
    <w:p>
      <w:pPr>
        <w:pStyle w:val="Heading2"/>
        <w:spacing w:after="160" w:before="320"/>
      </w:pPr>
      <w:r>
        <w:rPr>
          <w:rFonts w:ascii="Arial" w:cs="Arial" w:eastAsia="Arial" w:hAnsi="Arial"/>
          <w:b/>
          <w:bCs/>
          <w:color w:val="2563EB"/>
          <w:sz w:val="27"/>
          <w:szCs w:val="27"/>
        </w:rPr>
        <w:t xml:space="preserve">1.3 Cómo llegar al módulo</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Menú lateral → Finanzas → Tesorería</w:t>
      </w:r>
    </w:p>
    <w:p>
      <w:pPr>
        <w:spacing w:after="160" w:before="0" w:line="276"/>
      </w:pPr>
      <w:r>
        <w:rPr>
          <w:rFonts w:ascii="Arial" w:cs="Arial" w:eastAsia="Arial" w:hAnsi="Arial"/>
          <w:sz w:val="21"/>
          <w:szCs w:val="21"/>
        </w:rPr>
        <w:t xml:space="preserve">Si tu usuario tiene el rol Tesorería, esta pantalla es además tu página de inicio al iniciar sesión. Desde el menú "Finanzas" también puedes llegar a Ingresos, Presupuestos y Reportes.</w:t>
      </w:r>
    </w:p>
    <w:p>
      <w:pPr>
        <w:pStyle w:val="Heading1"/>
        <w:spacing w:after="220" w:before="0"/>
      </w:pPr>
      <w:r>
        <w:rPr>
          <w:rFonts w:ascii="Arial" w:cs="Arial" w:eastAsia="Arial" w:hAnsi="Arial"/>
          <w:b/>
          <w:bCs/>
          <w:color w:val="1E3A5F"/>
          <w:sz w:val="34"/>
          <w:szCs w:val="34"/>
        </w:rPr>
        <w:t xml:space="preserve">2. Roles y Permisos de Acceso</w:t>
      </w:r>
    </w:p>
    <w:p>
      <w:pPr>
        <w:spacing w:after="160" w:before="0" w:line="276"/>
      </w:pPr>
      <w:r>
        <w:rPr>
          <w:rFonts w:ascii="Arial" w:cs="Arial" w:eastAsia="Arial" w:hAnsi="Arial"/>
          <w:sz w:val="21"/>
          <w:szCs w:val="21"/>
        </w:rPr>
        <w:t xml:space="preserve">El acceso a Tesorería no depende de un permiso aislado, sino del rol asignado al usuario en el sistema. La siguiente tabla resume quién puede ver el módulo y quién puede autorizar las Órdenes de Pago que no vienen de una Orden de Compra.</w:t>
      </w:r>
    </w:p>
    <w:p>
      <w:pPr>
        <w:pStyle w:val="Heading2"/>
        <w:spacing w:after="160" w:before="320"/>
      </w:pPr>
      <w:r>
        <w:rPr>
          <w:rFonts w:ascii="Arial" w:cs="Arial" w:eastAsia="Arial" w:hAnsi="Arial"/>
          <w:b/>
          <w:bCs/>
          <w:color w:val="2563EB"/>
          <w:sz w:val="27"/>
          <w:szCs w:val="27"/>
        </w:rPr>
        <w:t xml:space="preserve">2.1 Roles con acceso al módulo</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560"/>
        <w:gridCol w:w="2200"/>
        <w:gridCol w:w="2600"/>
      </w:tblGrid>
      <w:tr>
        <w:trPr>
          <w:tblHeader/>
        </w:trPr>
        <w:tc>
          <w:tcPr>
            <w:tcW w:type="dxa" w:w="45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Rol</w:t>
            </w:r>
          </w:p>
        </w:tc>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¿Ve Tesorería?</w:t>
            </w:r>
          </w:p>
        </w:tc>
        <w:tc>
          <w:tcPr>
            <w:tcW w:type="dxa" w:w="26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¿Autoriza OP sin OC?</w:t>
            </w:r>
          </w:p>
        </w:tc>
      </w:tr>
      <w:tr>
        <w:tc>
          <w:tcPr>
            <w:tcW w:type="dxa" w:w="4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Super Administrador</w:t>
            </w:r>
          </w:p>
        </w:tc>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r>
      <w:tr>
        <w:tc>
          <w:tcPr>
            <w:tcW w:type="dxa" w:w="4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Administrador</w:t>
            </w:r>
          </w:p>
        </w:tc>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r>
      <w:tr>
        <w:tc>
          <w:tcPr>
            <w:tcW w:type="dxa" w:w="4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Administrador (Op.)</w:t>
            </w:r>
          </w:p>
        </w:tc>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r>
      <w:tr>
        <w:tc>
          <w:tcPr>
            <w:tcW w:type="dxa" w:w="4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Admin Solo Lectura</w:t>
            </w:r>
          </w:p>
        </w:tc>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 (ver nota 2.3)</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r>
      <w:tr>
        <w:tc>
          <w:tcPr>
            <w:tcW w:type="dxa" w:w="4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Administrador (Mant.)</w:t>
            </w:r>
          </w:p>
        </w:tc>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r>
      <w:tr>
        <w:tc>
          <w:tcPr>
            <w:tcW w:type="dxa" w:w="4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Fraccionamiento</w:t>
            </w:r>
          </w:p>
        </w:tc>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r>
      <w:tr>
        <w:tc>
          <w:tcPr>
            <w:tcW w:type="dxa" w:w="4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Tesorería</w:t>
            </w:r>
          </w:p>
        </w:tc>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 (rol dedicado)</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r>
      <w:tr>
        <w:tc>
          <w:tcPr>
            <w:tcW w:type="dxa" w:w="4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Organismo Operador — Administrador</w:t>
            </w:r>
          </w:p>
        </w:tc>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r>
      <w:tr>
        <w:tc>
          <w:tcPr>
            <w:tcW w:type="dxa" w:w="4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Supervisor de Compras</w:t>
            </w:r>
          </w:p>
        </w:tc>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Sí</w:t>
            </w:r>
          </w:p>
        </w:tc>
      </w:tr>
      <w:tr>
        <w:tc>
          <w:tcPr>
            <w:tcW w:type="dxa" w:w="4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Todos los demás roles (Compras, Almacén, Cobranza, Vigilancia, Mantenimiento, Seguridad, Ingresos, Solicitante, Golf, Hípico, Hospitality, Nómina, Caja/Auxiliar Organismo, etc.)</w:t>
            </w:r>
          </w:p>
        </w:tc>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w:t>
            </w:r>
          </w:p>
        </w:tc>
      </w:tr>
    </w:tbl>
    <w:p>
      <w:pPr>
        <w:spacing w:after="140"/>
      </w:pPr>
    </w:p>
    <w:p>
      <w:pPr>
        <w:spacing w:after="160" w:before="0" w:line="276"/>
      </w:pPr>
      <w:r>
        <w:rPr>
          <w:rFonts w:ascii="Arial" w:cs="Arial" w:eastAsia="Arial" w:hAnsi="Arial"/>
          <w:sz w:val="21"/>
          <w:szCs w:val="21"/>
        </w:rPr>
        <w:t xml:space="preserve">El rol Tesorería es el único perfil dedicado exclusivamente a esta función: al iniciar sesión llega directamente a esta pantalla y, desde el menú Finanzas, también tiene acceso a Ingresos, Presupuestos y Reportes.</w:t>
      </w:r>
    </w:p>
    <w:p>
      <w:pPr>
        <w:pStyle w:val="Heading2"/>
        <w:spacing w:after="160" w:before="320"/>
      </w:pPr>
      <w:r>
        <w:rPr>
          <w:rFonts w:ascii="Arial" w:cs="Arial" w:eastAsia="Arial" w:hAnsi="Arial"/>
          <w:b/>
          <w:bCs/>
          <w:color w:val="2563EB"/>
          <w:sz w:val="27"/>
          <w:szCs w:val="27"/>
        </w:rPr>
        <w:t xml:space="preserve">2.2 Autorización de Órdenes de Pago</w:t>
      </w:r>
    </w:p>
    <w:p>
      <w:pPr>
        <w:spacing w:after="160" w:before="0" w:line="276"/>
      </w:pPr>
      <w:r>
        <w:rPr>
          <w:rFonts w:ascii="Arial" w:cs="Arial" w:eastAsia="Arial" w:hAnsi="Arial"/>
          <w:sz w:val="21"/>
          <w:szCs w:val="21"/>
        </w:rPr>
        <w:t xml:space="preserve">Las Órdenes de Pago que se generan sin una Orden de Compra vinculada (servicios, honorarios, gastos directos) requieren autorización antes de entrar a Cuentas por Pagar. Esta autorización se realiza en el módulo de Compras (Órdenes de Pago → abrir el documento → botones Aprobar / Rechazar), no en las pantallas de Tesorería.</w:t>
      </w:r>
    </w:p>
    <w:p>
      <w:pPr>
        <w:spacing w:after="160" w:before="0" w:line="276"/>
      </w:pPr>
      <w:r>
        <w:rPr>
          <w:rFonts w:ascii="Arial" w:cs="Arial" w:eastAsia="Arial" w:hAnsi="Arial"/>
          <w:sz w:val="21"/>
          <w:szCs w:val="21"/>
        </w:rPr>
        <w:t xml:space="preserve">Únicamente los siguientes roles ven los botones de autorización: Super Administrador, Administrador, Supervisor de Compras y Fraccionamiento.</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El rol Tesorería, aunque tiene acceso completo al módulo de Tesorería, NO cuenta con el botón para aprobar o rechazar Órdenes de Pago sin OC. Su función es dar seguimiento y pagar documentos que ya fueron autorizados por alguno de los cuatro roles anteriores. Tesorería sí puede, en cambio, escribir mensajes de "instrucción de pago" dentro del detalle de la Orden de Pago (por ejemplo, para indicar la fecha o la forma de pago acordada).</w:t>
      </w:r>
    </w:p>
    <w:p>
      <w:pPr>
        <w:pStyle w:val="Heading2"/>
        <w:spacing w:after="160" w:before="320"/>
      </w:pPr>
      <w:r>
        <w:rPr>
          <w:rFonts w:ascii="Arial" w:cs="Arial" w:eastAsia="Arial" w:hAnsi="Arial"/>
          <w:b/>
          <w:bCs/>
          <w:color w:val="2563EB"/>
          <w:sz w:val="27"/>
          <w:szCs w:val="27"/>
        </w:rPr>
        <w:t xml:space="preserve">2.3 Nota importante sobre permisos de escritura</w:t>
      </w:r>
    </w:p>
    <w:p>
      <w:pPr>
        <w:spacing w:after="160" w:before="0" w:line="276"/>
      </w:pPr>
      <w:r>
        <w:rPr>
          <w:rFonts w:ascii="Arial" w:cs="Arial" w:eastAsia="Arial" w:hAnsi="Arial"/>
          <w:sz w:val="21"/>
          <w:szCs w:val="21"/>
        </w:rPr>
        <w:t xml:space="preserve">En la mayoría de los módulos del sistema, un rol de "solo lectura" no ve los botones de Nuevo, Editar o Eliminar. En las pantallas de Tesorería (Cuentas Bancarias y Cuentas por Pagar) esta restricción adicional no está implementada: cualquier usuario cuyo rol tenga acceso de lectura al módulo (columna "¿Ve Tesorería?" = Sí en la tabla anterior) puede también crear y editar cuentas bancarias, activarlas o desactivarlas, eliminarlas, registrar abonos manuales y registrar pagos de Órdenes de Pago — incluyendo el rol Admin Solo Lectura.</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Si tu organización necesita que un perfil vea Tesorería sin poder capturar movimientos, es un punto a considerar al asignar ese rol: hoy el control se limita a "puede entrar al módulo o no", sin un nivel intermedio de solo consulta dentro de Tesorería.</w:t>
      </w:r>
    </w:p>
    <w:p>
      <w:pPr>
        <w:pStyle w:val="Heading1"/>
        <w:spacing w:after="220" w:before="0"/>
      </w:pPr>
      <w:r>
        <w:rPr>
          <w:rFonts w:ascii="Arial" w:cs="Arial" w:eastAsia="Arial" w:hAnsi="Arial"/>
          <w:b/>
          <w:bCs/>
          <w:color w:val="1E3A5F"/>
          <w:sz w:val="34"/>
          <w:szCs w:val="34"/>
        </w:rPr>
        <w:t xml:space="preserve">3. Dashboard de Tesorería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Menú lateral → Finanzas → Tesorería</w:t>
      </w:r>
    </w:p>
    <w:p>
      <w:pPr>
        <w:spacing w:after="160" w:before="0" w:line="276"/>
      </w:pPr>
      <w:r>
        <w:rPr>
          <w:rFonts w:ascii="Arial" w:cs="Arial" w:eastAsia="Arial" w:hAnsi="Arial"/>
          <w:sz w:val="21"/>
          <w:szCs w:val="21"/>
        </w:rPr>
        <w:t xml:space="preserve">Al entrar al módulo ves un tablero con cuatro indicadores generales y accesos directos a las dos pantallas de trabajo del módulo.</w:t>
      </w:r>
    </w:p>
    <w:p>
      <w:pPr>
        <w:pStyle w:val="Heading2"/>
        <w:spacing w:after="160" w:before="320"/>
      </w:pPr>
      <w:r>
        <w:rPr>
          <w:rFonts w:ascii="Arial" w:cs="Arial" w:eastAsia="Arial" w:hAnsi="Arial"/>
          <w:b/>
          <w:bCs/>
          <w:color w:val="2563EB"/>
          <w:sz w:val="27"/>
          <w:szCs w:val="27"/>
        </w:rPr>
        <w:t xml:space="preserve">3.1 Indicadores (KPIs)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400"/>
        <w:gridCol w:w="6960"/>
      </w:tblGrid>
      <w:tr>
        <w:trPr>
          <w:tblHeader/>
        </w:trPr>
        <w:tc>
          <w:tcPr>
            <w:tcW w:type="dxa" w:w="24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Indicador</w:t>
            </w:r>
          </w:p>
        </w:tc>
        <w:tc>
          <w:tcPr>
            <w:tcW w:type="dxa" w:w="69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Qué significa</w:t>
            </w:r>
          </w:p>
        </w:tc>
      </w:tr>
      <w:tr>
        <w:tc>
          <w:tcPr>
            <w:tcW w:type="dxa" w:w="24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CXP Total</w:t>
            </w:r>
          </w:p>
        </w:tc>
        <w:tc>
          <w:tcPr>
            <w:tcW w:type="dxa" w:w="69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Suma del saldo pendiente (o del monto total si aún no tiene saldo registrado) de todas las Órdenes de Pago en status "Pendiente" o "Abonada". Es lo que la organización debe pagar en este momento.</w:t>
            </w:r>
          </w:p>
        </w:tc>
      </w:tr>
      <w:tr>
        <w:tc>
          <w:tcPr>
            <w:tcW w:type="dxa" w:w="24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CXP Vencido</w:t>
            </w:r>
          </w:p>
        </w:tc>
        <w:tc>
          <w:tcPr>
            <w:tcW w:type="dxa" w:w="69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De ese mismo total, la parte cuya fecha de vencimiento ya pasó.</w:t>
            </w:r>
          </w:p>
        </w:tc>
      </w:tr>
      <w:tr>
        <w:tc>
          <w:tcPr>
            <w:tcW w:type="dxa" w:w="24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Saldo en Cuentas</w:t>
            </w:r>
          </w:p>
        </w:tc>
        <w:tc>
          <w:tcPr>
            <w:tcW w:type="dxa" w:w="69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Suma de los saldos de todas las cuentas bancarias marcadas como activas.</w:t>
            </w:r>
          </w:p>
        </w:tc>
      </w:tr>
      <w:tr>
        <w:tc>
          <w:tcPr>
            <w:tcW w:type="dxa" w:w="24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Cuentas Bancarias</w:t>
            </w:r>
          </w:p>
        </w:tc>
        <w:tc>
          <w:tcPr>
            <w:tcW w:type="dxa" w:w="69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Número de cuentas bancarias activas registradas en el catálogo.</w:t>
            </w:r>
          </w:p>
        </w:tc>
      </w:tr>
    </w:tbl>
    <w:p>
      <w:pPr>
        <w:pStyle w:val="Heading2"/>
        <w:spacing w:after="160" w:before="320"/>
      </w:pPr>
      <w:r>
        <w:rPr>
          <w:rFonts w:ascii="Arial" w:cs="Arial" w:eastAsia="Arial" w:hAnsi="Arial"/>
          <w:b/>
          <w:bCs/>
          <w:color w:val="2563EB"/>
          <w:sz w:val="27"/>
          <w:szCs w:val="27"/>
        </w:rPr>
        <w:t xml:space="preserve">3.2 Accesos rápidos del módulo</w:t>
      </w:r>
    </w:p>
    <w:p>
      <w:pPr>
        <w:spacing w:after="160" w:before="0" w:line="276"/>
      </w:pPr>
      <w:r>
        <w:rPr>
          <w:rFonts w:ascii="Arial" w:cs="Arial" w:eastAsia="Arial" w:hAnsi="Arial"/>
          <w:sz w:val="21"/>
          <w:szCs w:val="21"/>
        </w:rPr>
        <w:t xml:space="preserve">Debajo de los indicadores encontrarás tres tarjetas de acceso directo:</w:t>
      </w:r>
    </w:p>
    <w:p>
      <w:pPr>
        <w:pStyle w:val="ListParagraph"/>
        <w:numPr>
          <w:ilvl w:val="0"/>
          <w:numId w:val="2"/>
        </w:numPr>
        <w:spacing w:after="80"/>
      </w:pPr>
      <w:r>
        <w:rPr>
          <w:rFonts w:ascii="Arial" w:cs="Arial" w:eastAsia="Arial" w:hAnsi="Arial"/>
          <w:sz w:val="21"/>
          <w:szCs w:val="21"/>
        </w:rPr>
        <w:t xml:space="preserve">Cuentas por Pagar — saldos por proveedor, antigüedad de documentos y registro de pagos (capítulo 5).</w:t>
      </w:r>
    </w:p>
    <w:p>
      <w:pPr>
        <w:pStyle w:val="ListParagraph"/>
        <w:numPr>
          <w:ilvl w:val="0"/>
          <w:numId w:val="2"/>
        </w:numPr>
        <w:spacing w:after="80"/>
      </w:pPr>
      <w:r>
        <w:rPr>
          <w:rFonts w:ascii="Arial" w:cs="Arial" w:eastAsia="Arial" w:hAnsi="Arial"/>
          <w:sz w:val="21"/>
          <w:szCs w:val="21"/>
        </w:rPr>
        <w:t xml:space="preserve">Cuentas Bancarias — saldos, movimientos y administración de cuentas bancarias (capítulo 4).</w:t>
      </w:r>
    </w:p>
    <w:p>
      <w:pPr>
        <w:pStyle w:val="ListParagraph"/>
        <w:numPr>
          <w:ilvl w:val="0"/>
          <w:numId w:val="2"/>
        </w:numPr>
        <w:spacing w:after="80"/>
      </w:pPr>
      <w:r>
        <w:rPr>
          <w:rFonts w:ascii="Arial" w:cs="Arial" w:eastAsia="Arial" w:hAnsi="Arial"/>
          <w:sz w:val="21"/>
          <w:szCs w:val="21"/>
        </w:rPr>
        <w:t xml:space="preserve">Panorama Financiero — te lleva al Dashboard Financiero general del sistema (Ingresos, Egresos, Balance neto y demás indicadores globales), fuera del alcance de este manual.</w:t>
      </w:r>
    </w:p>
    <w:p>
      <w:pPr>
        <w:pStyle w:val="Heading2"/>
        <w:spacing w:after="160" w:before="320"/>
      </w:pPr>
      <w:r>
        <w:rPr>
          <w:rFonts w:ascii="Arial" w:cs="Arial" w:eastAsia="Arial" w:hAnsi="Arial"/>
          <w:b/>
          <w:bCs/>
          <w:color w:val="2563EB"/>
          <w:sz w:val="27"/>
          <w:szCs w:val="27"/>
        </w:rPr>
        <w:t xml:space="preserve">3.3 Cargos y Abonos automáticos</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Los movimientos de Cargo se originan automáticamente al registrar pagos en Cuentas por Pagar. Los Abonos se registran directamente en cada cuenta bancaria.</w:t>
      </w:r>
    </w:p>
    <w:p>
      <w:pPr>
        <w:spacing w:after="160" w:before="0" w:line="276"/>
      </w:pPr>
      <w:r>
        <w:rPr>
          <w:rFonts w:ascii="Arial" w:cs="Arial" w:eastAsia="Arial" w:hAnsi="Arial"/>
          <w:sz w:val="21"/>
          <w:szCs w:val="21"/>
        </w:rPr>
        <w:t xml:space="preserve">Esta es la regla que conecta los capítulos 4 y 5 de este manual: cuando registras un pago de una Orden de Pago y seleccionas la cuenta bancaria de origen, el sistema genera automáticamente el movimiento de Cargo en esa cuenta y descuenta el saldo. Los depósitos, transferencias recibidas u otros ingresos a la cuenta (Abonos) se capturan manualmente desde la pantalla de Cuentas Bancarias.</w:t>
      </w:r>
    </w:p>
    <w:p>
      <w:pPr>
        <w:pStyle w:val="Heading1"/>
        <w:spacing w:after="220" w:before="0"/>
      </w:pPr>
      <w:r>
        <w:rPr>
          <w:rFonts w:ascii="Arial" w:cs="Arial" w:eastAsia="Arial" w:hAnsi="Arial"/>
          <w:b/>
          <w:bCs/>
          <w:color w:val="1E3A5F"/>
          <w:sz w:val="34"/>
          <w:szCs w:val="34"/>
        </w:rPr>
        <w:t xml:space="preserve">4. Cuentas Bancarias</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Menú lateral → Finanzas → Tesorería → Cuentas Bancarias</w:t>
      </w:r>
    </w:p>
    <w:p>
      <w:pPr>
        <w:spacing w:after="160" w:before="0" w:line="276"/>
      </w:pPr>
      <w:r>
        <w:rPr>
          <w:rFonts w:ascii="Arial" w:cs="Arial" w:eastAsia="Arial" w:hAnsi="Arial"/>
          <w:sz w:val="21"/>
          <w:szCs w:val="21"/>
        </w:rPr>
        <w:t xml:space="preserve">Esta pantalla es el catálogo de cuentas bancarias del organismo. Cada cuenta guarda su saldo actual y un historial completo de movimientos (cargos y abonos).</w:t>
      </w:r>
    </w:p>
    <w:p>
      <w:pPr>
        <w:pStyle w:val="Heading2"/>
        <w:spacing w:after="160" w:before="320"/>
      </w:pPr>
      <w:r>
        <w:rPr>
          <w:rFonts w:ascii="Arial" w:cs="Arial" w:eastAsia="Arial" w:hAnsi="Arial"/>
          <w:b/>
          <w:bCs/>
          <w:color w:val="2563EB"/>
          <w:sz w:val="27"/>
          <w:szCs w:val="27"/>
        </w:rPr>
        <w:t xml:space="preserve">4.1 Listado de cuentas</w:t>
      </w:r>
    </w:p>
    <w:p>
      <w:pPr>
        <w:spacing w:after="160" w:before="0" w:line="276"/>
      </w:pPr>
      <w:r>
        <w:rPr>
          <w:rFonts w:ascii="Arial" w:cs="Arial" w:eastAsia="Arial" w:hAnsi="Arial"/>
          <w:sz w:val="21"/>
          <w:szCs w:val="21"/>
        </w:rPr>
        <w:t xml:space="preserve">En la parte superior encontrarás dos indicadores: el Saldo total activo (suma de todas las cuentas activas) y el número de Cuentas activas. Debajo, la tabla principal muestra:</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716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Columna</w:t>
            </w:r>
          </w:p>
        </w:tc>
        <w:tc>
          <w:tcPr>
            <w:tcW w:type="dxa" w:w="71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Descripción</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Banco</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Nombre de la institución bancaria.</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 de Cuenta</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Número de cuenta interno del banco.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CLABE</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Clave Bancaria Estandarizada (18 dígitos).</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Saldo</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Saldo actual de la cuenta. Se muestra en rojo si es negativo.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Descripción</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Texto libre de referencia.</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Status</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Interruptor Activa / Inactiva.</w:t>
            </w:r>
          </w:p>
        </w:tc>
      </w:tr>
    </w:tbl>
    <w:p>
      <w:pPr>
        <w:spacing w:after="160" w:before="0" w:line="276"/>
      </w:pPr>
      <w:r>
        <w:rPr>
          <w:rFonts w:ascii="Arial" w:cs="Arial" w:eastAsia="Arial" w:hAnsi="Arial"/>
          <w:sz w:val="21"/>
          <w:szCs w:val="21"/>
        </w:rPr>
        <w:t xml:space="preserve">Las cuentas inactivas se muestran atenuadas (semitransparentes) en la lista, pero no se eliminan del catálogo ni de los reportes históricos.</w:t>
      </w:r>
    </w:p>
    <w:p>
      <w:pPr>
        <w:spacing w:after="160" w:before="0" w:line="276"/>
      </w:pPr>
      <w:r>
        <w:rPr>
          <w:rFonts w:ascii="Arial" w:cs="Arial" w:eastAsia="Arial" w:hAnsi="Arial"/>
          <w:sz w:val="21"/>
          <w:szCs w:val="21"/>
        </w:rPr>
        <w:t xml:space="preserve">Cada fila tiene tres acciones al lado derecho: Ver (abre el detalle y los movimientos, sección 4.6), Editar (abre el mismo formulario de captura) y Eliminar.</w:t>
      </w:r>
    </w:p>
    <w:p>
      <w:pPr>
        <w:pStyle w:val="Heading2"/>
        <w:spacing w:after="160" w:before="320"/>
      </w:pPr>
      <w:r>
        <w:rPr>
          <w:rFonts w:ascii="Arial" w:cs="Arial" w:eastAsia="Arial" w:hAnsi="Arial"/>
          <w:b/>
          <w:bCs/>
          <w:color w:val="2563EB"/>
          <w:sz w:val="27"/>
          <w:szCs w:val="27"/>
        </w:rPr>
        <w:t xml:space="preserve">4.2 Crear una nueva cuenta bancaria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Cuentas Bancarias → botón "Nueva Cuenta"</w:t>
      </w:r>
    </w:p>
    <w:p>
      <w:pPr>
        <w:spacing w:after="100" w:before="0" w:line="264"/>
        <w:ind w:left="420" w:hanging="420"/>
      </w:pPr>
      <w:r>
        <w:rPr>
          <w:rFonts w:ascii="Arial" w:cs="Arial" w:eastAsia="Arial" w:hAnsi="Arial"/>
          <w:b/>
          <w:bCs/>
          <w:color w:val="2563EB"/>
          <w:sz w:val="21"/>
          <w:szCs w:val="21"/>
        </w:rPr>
        <w:t xml:space="preserve">1.  </w:t>
      </w:r>
      <w:r>
        <w:rPr>
          <w:rFonts w:ascii="Arial" w:cs="Arial" w:eastAsia="Arial" w:hAnsi="Arial"/>
          <w:sz w:val="21"/>
          <w:szCs w:val="21"/>
        </w:rPr>
        <w:t xml:space="preserve">Haz clic en el botón Nueva Cuenta, en la parte superior derecha.</w:t>
      </w:r>
    </w:p>
    <w:p>
      <w:pPr>
        <w:spacing w:after="100" w:before="0" w:line="264"/>
        <w:ind w:left="420" w:hanging="420"/>
      </w:pPr>
      <w:r>
        <w:rPr>
          <w:rFonts w:ascii="Arial" w:cs="Arial" w:eastAsia="Arial" w:hAnsi="Arial"/>
          <w:b/>
          <w:bCs/>
          <w:color w:val="2563EB"/>
          <w:sz w:val="21"/>
          <w:szCs w:val="21"/>
        </w:rPr>
        <w:t xml:space="preserve">2.  </w:t>
      </w:r>
      <w:r>
        <w:rPr>
          <w:rFonts w:ascii="Arial" w:cs="Arial" w:eastAsia="Arial" w:hAnsi="Arial"/>
          <w:sz w:val="21"/>
          <w:szCs w:val="21"/>
        </w:rPr>
        <w:t xml:space="preserve">Captura el campo Banco (obligatorio) — por ejemplo BBVA, Banamex, HSBC.</w:t>
      </w:r>
    </w:p>
    <w:p>
      <w:pPr>
        <w:spacing w:after="100" w:before="0" w:line="264"/>
        <w:ind w:left="420" w:hanging="420"/>
      </w:pPr>
      <w:r>
        <w:rPr>
          <w:rFonts w:ascii="Arial" w:cs="Arial" w:eastAsia="Arial" w:hAnsi="Arial"/>
          <w:b/>
          <w:bCs/>
          <w:color w:val="2563EB"/>
          <w:sz w:val="21"/>
          <w:szCs w:val="21"/>
        </w:rPr>
        <w:t xml:space="preserve">3.  </w:t>
      </w:r>
      <w:r>
        <w:rPr>
          <w:rFonts w:ascii="Arial" w:cs="Arial" w:eastAsia="Arial" w:hAnsi="Arial"/>
          <w:sz w:val="21"/>
          <w:szCs w:val="21"/>
        </w:rPr>
        <w:t xml:space="preserve">Captura, si los tienes, el No. de Cuenta y la CLABE (máximo 18 caracteres).</w:t>
      </w:r>
    </w:p>
    <w:p>
      <w:pPr>
        <w:spacing w:after="100" w:before="0" w:line="264"/>
        <w:ind w:left="420" w:hanging="420"/>
      </w:pPr>
      <w:r>
        <w:rPr>
          <w:rFonts w:ascii="Arial" w:cs="Arial" w:eastAsia="Arial" w:hAnsi="Arial"/>
          <w:b/>
          <w:bCs/>
          <w:color w:val="2563EB"/>
          <w:sz w:val="21"/>
          <w:szCs w:val="21"/>
        </w:rPr>
        <w:t xml:space="preserve">4.  </w:t>
      </w:r>
      <w:r>
        <w:rPr>
          <w:rFonts w:ascii="Arial" w:cs="Arial" w:eastAsia="Arial" w:hAnsi="Arial"/>
          <w:sz w:val="21"/>
          <w:szCs w:val="21"/>
        </w:rPr>
        <w:t xml:space="preserve">Captura el Saldo Inicial de la cuenta.</w:t>
      </w:r>
    </w:p>
    <w:p>
      <w:pPr>
        <w:spacing w:after="100" w:before="0" w:line="264"/>
        <w:ind w:left="420" w:hanging="420"/>
      </w:pPr>
      <w:r>
        <w:rPr>
          <w:rFonts w:ascii="Arial" w:cs="Arial" w:eastAsia="Arial" w:hAnsi="Arial"/>
          <w:b/>
          <w:bCs/>
          <w:color w:val="2563EB"/>
          <w:sz w:val="21"/>
          <w:szCs w:val="21"/>
        </w:rPr>
        <w:t xml:space="preserve">5.  </w:t>
      </w:r>
      <w:r>
        <w:rPr>
          <w:rFonts w:ascii="Arial" w:cs="Arial" w:eastAsia="Arial" w:hAnsi="Arial"/>
          <w:sz w:val="21"/>
          <w:szCs w:val="21"/>
        </w:rPr>
        <w:t xml:space="preserve">Agrega una Descripción de referencia si lo consideras útil.</w:t>
      </w:r>
    </w:p>
    <w:p>
      <w:pPr>
        <w:spacing w:after="100" w:before="0" w:line="264"/>
        <w:ind w:left="420" w:hanging="420"/>
      </w:pPr>
      <w:r>
        <w:rPr>
          <w:rFonts w:ascii="Arial" w:cs="Arial" w:eastAsia="Arial" w:hAnsi="Arial"/>
          <w:b/>
          <w:bCs/>
          <w:color w:val="2563EB"/>
          <w:sz w:val="21"/>
          <w:szCs w:val="21"/>
        </w:rPr>
        <w:t xml:space="preserve">6.  </w:t>
      </w:r>
      <w:r>
        <w:rPr>
          <w:rFonts w:ascii="Arial" w:cs="Arial" w:eastAsia="Arial" w:hAnsi="Arial"/>
          <w:sz w:val="21"/>
          <w:szCs w:val="21"/>
        </w:rPr>
        <w:t xml:space="preserve">Haz clic en Crear Cuenta.</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El campo Banco es el único obligatorio. Si no capturas un Saldo Inicial, la cuenta queda registrada con saldo en cero.</w:t>
      </w:r>
    </w:p>
    <w:p>
      <w:pPr>
        <w:pStyle w:val="Heading2"/>
        <w:spacing w:after="160" w:before="320"/>
      </w:pPr>
      <w:r>
        <w:rPr>
          <w:rFonts w:ascii="Arial" w:cs="Arial" w:eastAsia="Arial" w:hAnsi="Arial"/>
          <w:b/>
          <w:bCs/>
          <w:color w:val="2563EB"/>
          <w:sz w:val="27"/>
          <w:szCs w:val="27"/>
        </w:rPr>
        <w:t xml:space="preserve">4.3 Editar una cuenta bancaria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Cuentas Bancarias → icono de lápiz (Editar) en la fila de la cuenta</w:t>
      </w:r>
    </w:p>
    <w:p>
      <w:pPr>
        <w:spacing w:after="160" w:before="0" w:line="276"/>
      </w:pPr>
      <w:r>
        <w:rPr>
          <w:rFonts w:ascii="Arial" w:cs="Arial" w:eastAsia="Arial" w:hAnsi="Arial"/>
          <w:sz w:val="21"/>
          <w:szCs w:val="21"/>
        </w:rPr>
        <w:t xml:space="preserve">El formulario de edición es igual al de creación, con un campo adicional: la casilla Cuenta activa, que te permite activar o desactivar la cuenta desde el mismo formulario (además del interruptor visible en la tabla, ver sección 4.4).</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Editar el Saldo manualmente desde este formulario NO genera un movimiento en el historial de la cuenta (a diferencia de registrar un Abono, ver sección 4.7). Úsalo solo para correcciones puntuales, por ejemplo al dar de alta el saldo inicial de una cuenta ya existente.</w:t>
      </w:r>
    </w:p>
    <w:p>
      <w:pPr>
        <w:pStyle w:val="Heading2"/>
        <w:spacing w:after="160" w:before="320"/>
      </w:pPr>
      <w:r>
        <w:rPr>
          <w:rFonts w:ascii="Arial" w:cs="Arial" w:eastAsia="Arial" w:hAnsi="Arial"/>
          <w:b/>
          <w:bCs/>
          <w:color w:val="2563EB"/>
          <w:sz w:val="27"/>
          <w:szCs w:val="27"/>
        </w:rPr>
        <w:t xml:space="preserve">4.4 Activar / desactivar una cuenta</w:t>
      </w:r>
    </w:p>
    <w:p>
      <w:pPr>
        <w:spacing w:after="160" w:before="0" w:line="276"/>
      </w:pPr>
      <w:r>
        <w:rPr>
          <w:rFonts w:ascii="Arial" w:cs="Arial" w:eastAsia="Arial" w:hAnsi="Arial"/>
          <w:sz w:val="21"/>
          <w:szCs w:val="21"/>
        </w:rPr>
        <w:t xml:space="preserve">El interruptor de la columna Status permite activar o desactivar una cuenta con un solo clic, sin abrir ningún formulario. Una cuenta inactiva deja de sumar al indicador "Saldo en Cuentas" del dashboard (capítulo 3) y al total del dashboard de Tesorería, pero conserva su historial de movimientos.</w:t>
      </w:r>
    </w:p>
    <w:p>
      <w:pPr>
        <w:pStyle w:val="Heading2"/>
        <w:spacing w:after="160" w:before="320"/>
      </w:pPr>
      <w:r>
        <w:rPr>
          <w:rFonts w:ascii="Arial" w:cs="Arial" w:eastAsia="Arial" w:hAnsi="Arial"/>
          <w:b/>
          <w:bCs/>
          <w:color w:val="2563EB"/>
          <w:sz w:val="27"/>
          <w:szCs w:val="27"/>
        </w:rPr>
        <w:t xml:space="preserve">4.5 Eliminar una cuenta bancaria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Cuentas Bancarias → icono de bote de basura (Eliminar) en la fila de la cuenta</w:t>
      </w:r>
    </w:p>
    <w:p>
      <w:pPr>
        <w:spacing w:after="160" w:before="0" w:line="276"/>
      </w:pPr>
      <w:r>
        <w:rPr>
          <w:rFonts w:ascii="Arial" w:cs="Arial" w:eastAsia="Arial" w:hAnsi="Arial"/>
          <w:sz w:val="21"/>
          <w:szCs w:val="21"/>
        </w:rPr>
        <w:t xml:space="preserve">El sistema te pide confirmación antes de eliminar. Ten en cuenta que esta acción borra la cuenta del catálogo de forma permanente — si la cuenta ya tiene movimientos o pagos asociados, es preferible desactivarla (sección 4.4) en lugar de eliminarla.</w:t>
      </w:r>
    </w:p>
    <w:p>
      <w:pPr>
        <w:pStyle w:val="Heading2"/>
        <w:spacing w:after="160" w:before="320"/>
      </w:pPr>
      <w:r>
        <w:rPr>
          <w:rFonts w:ascii="Arial" w:cs="Arial" w:eastAsia="Arial" w:hAnsi="Arial"/>
          <w:b/>
          <w:bCs/>
          <w:color w:val="2563EB"/>
          <w:sz w:val="27"/>
          <w:szCs w:val="27"/>
        </w:rPr>
        <w:t xml:space="preserve">4.6 Consultar el detalle y los movimientos de una cuenta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Cuentas Bancarias → icono de ojo (Ver) en la fila de la cuenta</w:t>
      </w:r>
    </w:p>
    <w:p>
      <w:pPr>
        <w:spacing w:after="160" w:before="0" w:line="276"/>
      </w:pPr>
      <w:r>
        <w:rPr>
          <w:rFonts w:ascii="Arial" w:cs="Arial" w:eastAsia="Arial" w:hAnsi="Arial"/>
          <w:sz w:val="21"/>
          <w:szCs w:val="21"/>
        </w:rPr>
        <w:t xml:space="preserve">Al abrir el detalle de una cuenta encontrarás:</w:t>
      </w:r>
    </w:p>
    <w:p>
      <w:pPr>
        <w:pStyle w:val="ListParagraph"/>
        <w:numPr>
          <w:ilvl w:val="0"/>
          <w:numId w:val="2"/>
        </w:numPr>
        <w:spacing w:after="80"/>
      </w:pPr>
      <w:r>
        <w:rPr>
          <w:rFonts w:ascii="Arial" w:cs="Arial" w:eastAsia="Arial" w:hAnsi="Arial"/>
          <w:sz w:val="21"/>
          <w:szCs w:val="21"/>
        </w:rPr>
        <w:t xml:space="preserve">Tres indicadores: Saldo Actual, Cargos del período y Abonos del período (los dos últimos se recalculan según el filtro de fechas que uses).</w:t>
      </w:r>
    </w:p>
    <w:p>
      <w:pPr>
        <w:pStyle w:val="ListParagraph"/>
        <w:numPr>
          <w:ilvl w:val="0"/>
          <w:numId w:val="2"/>
        </w:numPr>
        <w:spacing w:after="80"/>
      </w:pPr>
      <w:r>
        <w:rPr>
          <w:rFonts w:ascii="Arial" w:cs="Arial" w:eastAsia="Arial" w:hAnsi="Arial"/>
          <w:sz w:val="21"/>
          <w:szCs w:val="21"/>
        </w:rPr>
        <w:t xml:space="preserve">Un filtro de Período (fecha De / A) para acotar el historial que se muestra; el botón Limpiar quita el filtro.</w:t>
      </w:r>
    </w:p>
    <w:p>
      <w:pPr>
        <w:pStyle w:val="ListParagraph"/>
        <w:numPr>
          <w:ilvl w:val="0"/>
          <w:numId w:val="2"/>
        </w:numPr>
        <w:spacing w:after="80"/>
      </w:pPr>
      <w:r>
        <w:rPr>
          <w:rFonts w:ascii="Arial" w:cs="Arial" w:eastAsia="Arial" w:hAnsi="Arial"/>
          <w:sz w:val="21"/>
          <w:szCs w:val="21"/>
        </w:rPr>
        <w:t xml:space="preserve">El botón Registrar Abono, que abre el formulario descrito en la sección 4.7.</w:t>
      </w:r>
    </w:p>
    <w:p>
      <w:pPr>
        <w:pStyle w:val="ListParagraph"/>
        <w:numPr>
          <w:ilvl w:val="0"/>
          <w:numId w:val="2"/>
        </w:numPr>
        <w:spacing w:after="80"/>
      </w:pPr>
      <w:r>
        <w:rPr>
          <w:rFonts w:ascii="Arial" w:cs="Arial" w:eastAsia="Arial" w:hAnsi="Arial"/>
          <w:sz w:val="21"/>
          <w:szCs w:val="21"/>
        </w:rPr>
        <w:t xml:space="preserve">La tabla de movimientos: Fecha, Concepto, Referencia, Tipo (Cargo o Abono), Monto, Saldo Anterior, Saldo Posterior y Registrado por.</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Los movimientos de tipo Cargo solo se generan automáticamente desde una Orden de Pago (sección 5.7); esta pantalla no ofrece un botón para capturar un Cargo manual.</w:t>
      </w:r>
    </w:p>
    <w:p>
      <w:pPr>
        <w:pStyle w:val="Heading2"/>
        <w:spacing w:after="160" w:before="320"/>
      </w:pPr>
      <w:r>
        <w:rPr>
          <w:rFonts w:ascii="Arial" w:cs="Arial" w:eastAsia="Arial" w:hAnsi="Arial"/>
          <w:b/>
          <w:bCs/>
          <w:color w:val="2563EB"/>
          <w:sz w:val="27"/>
          <w:szCs w:val="27"/>
        </w:rPr>
        <w:t xml:space="preserve">4.7 Registrar un abono manual</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Cuentas Bancarias → Ver (una cuenta) → botón "Registrar Abono"</w:t>
      </w:r>
    </w:p>
    <w:p>
      <w:pPr>
        <w:spacing w:after="160" w:before="0" w:line="276"/>
      </w:pPr>
      <w:r>
        <w:rPr>
          <w:rFonts w:ascii="Arial" w:cs="Arial" w:eastAsia="Arial" w:hAnsi="Arial"/>
          <w:sz w:val="21"/>
          <w:szCs w:val="21"/>
        </w:rPr>
        <w:t xml:space="preserve">Usa esta opción para reflejar dinero que entró a la cuenta por fuera del flujo de pago de Órdenes de Pago: depósitos, transferencias recibidas, rendimientos, traspasos entre cuentas, etc.</w:t>
      </w:r>
    </w:p>
    <w:p>
      <w:pPr>
        <w:spacing w:after="100" w:before="0" w:line="264"/>
        <w:ind w:left="420" w:hanging="420"/>
      </w:pPr>
      <w:r>
        <w:rPr>
          <w:rFonts w:ascii="Arial" w:cs="Arial" w:eastAsia="Arial" w:hAnsi="Arial"/>
          <w:b/>
          <w:bCs/>
          <w:color w:val="2563EB"/>
          <w:sz w:val="21"/>
          <w:szCs w:val="21"/>
        </w:rPr>
        <w:t xml:space="preserve">1.  </w:t>
      </w:r>
      <w:r>
        <w:rPr>
          <w:rFonts w:ascii="Arial" w:cs="Arial" w:eastAsia="Arial" w:hAnsi="Arial"/>
          <w:sz w:val="21"/>
          <w:szCs w:val="21"/>
        </w:rPr>
        <w:t xml:space="preserve">Abre el detalle de la cuenta bancaria (Ver) y haz clic en Registrar Abono.</w:t>
      </w:r>
    </w:p>
    <w:p>
      <w:pPr>
        <w:spacing w:after="100" w:before="0" w:line="264"/>
        <w:ind w:left="420" w:hanging="420"/>
      </w:pPr>
      <w:r>
        <w:rPr>
          <w:rFonts w:ascii="Arial" w:cs="Arial" w:eastAsia="Arial" w:hAnsi="Arial"/>
          <w:b/>
          <w:bCs/>
          <w:color w:val="2563EB"/>
          <w:sz w:val="21"/>
          <w:szCs w:val="21"/>
        </w:rPr>
        <w:t xml:space="preserve">2.  </w:t>
      </w:r>
      <w:r>
        <w:rPr>
          <w:rFonts w:ascii="Arial" w:cs="Arial" w:eastAsia="Arial" w:hAnsi="Arial"/>
          <w:sz w:val="21"/>
          <w:szCs w:val="21"/>
        </w:rPr>
        <w:t xml:space="preserve">Captura la Fecha del movimiento (obligatoria).</w:t>
      </w:r>
    </w:p>
    <w:p>
      <w:pPr>
        <w:spacing w:after="100" w:before="0" w:line="264"/>
        <w:ind w:left="420" w:hanging="420"/>
      </w:pPr>
      <w:r>
        <w:rPr>
          <w:rFonts w:ascii="Arial" w:cs="Arial" w:eastAsia="Arial" w:hAnsi="Arial"/>
          <w:b/>
          <w:bCs/>
          <w:color w:val="2563EB"/>
          <w:sz w:val="21"/>
          <w:szCs w:val="21"/>
        </w:rPr>
        <w:t xml:space="preserve">3.  </w:t>
      </w:r>
      <w:r>
        <w:rPr>
          <w:rFonts w:ascii="Arial" w:cs="Arial" w:eastAsia="Arial" w:hAnsi="Arial"/>
          <w:sz w:val="21"/>
          <w:szCs w:val="21"/>
        </w:rPr>
        <w:t xml:space="preserve">Captura el Monto del abono (obligatorio, mayor a cero).</w:t>
      </w:r>
    </w:p>
    <w:p>
      <w:pPr>
        <w:spacing w:after="100" w:before="0" w:line="264"/>
        <w:ind w:left="420" w:hanging="420"/>
      </w:pPr>
      <w:r>
        <w:rPr>
          <w:rFonts w:ascii="Arial" w:cs="Arial" w:eastAsia="Arial" w:hAnsi="Arial"/>
          <w:b/>
          <w:bCs/>
          <w:color w:val="2563EB"/>
          <w:sz w:val="21"/>
          <w:szCs w:val="21"/>
        </w:rPr>
        <w:t xml:space="preserve">4.  </w:t>
      </w:r>
      <w:r>
        <w:rPr>
          <w:rFonts w:ascii="Arial" w:cs="Arial" w:eastAsia="Arial" w:hAnsi="Arial"/>
          <w:sz w:val="21"/>
          <w:szCs w:val="21"/>
        </w:rPr>
        <w:t xml:space="preserve">Escribe el Concepto — por ejemplo "Depósito inicial" o "Transferencia recibida" (obligatorio).</w:t>
      </w:r>
    </w:p>
    <w:p>
      <w:pPr>
        <w:spacing w:after="100" w:before="0" w:line="264"/>
        <w:ind w:left="420" w:hanging="420"/>
      </w:pPr>
      <w:r>
        <w:rPr>
          <w:rFonts w:ascii="Arial" w:cs="Arial" w:eastAsia="Arial" w:hAnsi="Arial"/>
          <w:b/>
          <w:bCs/>
          <w:color w:val="2563EB"/>
          <w:sz w:val="21"/>
          <w:szCs w:val="21"/>
        </w:rPr>
        <w:t xml:space="preserve">5.  </w:t>
      </w:r>
      <w:r>
        <w:rPr>
          <w:rFonts w:ascii="Arial" w:cs="Arial" w:eastAsia="Arial" w:hAnsi="Arial"/>
          <w:sz w:val="21"/>
          <w:szCs w:val="21"/>
        </w:rPr>
        <w:t xml:space="preserve">Si aplica, captura el No. de Referencia (transferencia, cheque, etc.).</w:t>
      </w:r>
    </w:p>
    <w:p>
      <w:pPr>
        <w:spacing w:after="100" w:before="0" w:line="264"/>
        <w:ind w:left="420" w:hanging="420"/>
      </w:pPr>
      <w:r>
        <w:rPr>
          <w:rFonts w:ascii="Arial" w:cs="Arial" w:eastAsia="Arial" w:hAnsi="Arial"/>
          <w:b/>
          <w:bCs/>
          <w:color w:val="2563EB"/>
          <w:sz w:val="21"/>
          <w:szCs w:val="21"/>
        </w:rPr>
        <w:t xml:space="preserve">6.  </w:t>
      </w:r>
      <w:r>
        <w:rPr>
          <w:rFonts w:ascii="Arial" w:cs="Arial" w:eastAsia="Arial" w:hAnsi="Arial"/>
          <w:sz w:val="21"/>
          <w:szCs w:val="21"/>
        </w:rPr>
        <w:t xml:space="preserve">Haz clic en Confirmar Abono.</w:t>
      </w:r>
    </w:p>
    <w:p>
      <w:pPr>
        <w:spacing w:after="160" w:before="0" w:line="276"/>
      </w:pPr>
      <w:r>
        <w:rPr>
          <w:rFonts w:ascii="Arial" w:cs="Arial" w:eastAsia="Arial" w:hAnsi="Arial"/>
          <w:sz w:val="21"/>
          <w:szCs w:val="21"/>
        </w:rPr>
        <w:t xml:space="preserve">Al guardar, el sistema crea el movimiento en el historial con el saldo anterior y el saldo posterior, y actualiza de inmediato el saldo de la cuenta bancaria.</w:t>
      </w:r>
    </w:p>
    <w:p>
      <w:pPr>
        <w:pStyle w:val="Heading1"/>
        <w:spacing w:after="220" w:before="0"/>
      </w:pPr>
      <w:r>
        <w:rPr>
          <w:rFonts w:ascii="Arial" w:cs="Arial" w:eastAsia="Arial" w:hAnsi="Arial"/>
          <w:b/>
          <w:bCs/>
          <w:color w:val="1E3A5F"/>
          <w:sz w:val="34"/>
          <w:szCs w:val="34"/>
        </w:rPr>
        <w:t xml:space="preserve">5. Cuentas por Pagar (CXP)</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Menú lateral → Finanzas → Tesorería → Cuentas por Pagar</w:t>
      </w:r>
    </w:p>
    <w:p>
      <w:pPr>
        <w:pStyle w:val="Heading2"/>
        <w:spacing w:after="160" w:before="320"/>
      </w:pPr>
      <w:r>
        <w:rPr>
          <w:rFonts w:ascii="Arial" w:cs="Arial" w:eastAsia="Arial" w:hAnsi="Arial"/>
          <w:b/>
          <w:bCs/>
          <w:color w:val="2563EB"/>
          <w:sz w:val="27"/>
          <w:szCs w:val="27"/>
        </w:rPr>
        <w:t xml:space="preserve">5.1 Qué muestra esta pantalla</w:t>
      </w:r>
    </w:p>
    <w:p>
      <w:pPr>
        <w:spacing w:after="160" w:before="0" w:line="276"/>
      </w:pPr>
      <w:r>
        <w:rPr>
          <w:rFonts w:ascii="Arial" w:cs="Arial" w:eastAsia="Arial" w:hAnsi="Arial"/>
          <w:sz w:val="21"/>
          <w:szCs w:val="21"/>
        </w:rPr>
        <w:t xml:space="preserve">Cuentas por Pagar concentra todas las Órdenes de Pago que ya pasaron la etapa de autorización, es decir, en status "Pendiente", "Abonada" o "Pagada". Las Órdenes de Pago en status "Pendiente Auth", "Rechazada" o "Cancelada" no se muestran aquí. La siguiente tabla resume el significado de cada status que puedes encontrar en esta pantalla y en los reportes relacionados: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000"/>
        <w:gridCol w:w="7360"/>
      </w:tblGrid>
      <w:tr>
        <w:trPr>
          <w:tblHeader/>
        </w:trPr>
        <w:tc>
          <w:tcPr>
            <w:tcW w:type="dxa" w:w="20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Status</w:t>
            </w:r>
          </w:p>
        </w:tc>
        <w:tc>
          <w:tcPr>
            <w:tcW w:type="dxa" w:w="73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Significado</w:t>
            </w:r>
          </w:p>
        </w:tc>
      </w:tr>
      <w:tr>
        <w:tc>
          <w:tcPr>
            <w:tcW w:type="dxa" w:w="20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Pendiente Auth</w:t>
            </w:r>
          </w:p>
        </w:tc>
        <w:tc>
          <w:tcPr>
            <w:tcW w:type="dxa" w:w="73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Orden de Pago sin OC, esperando autorización en Compras. No aparece en Cuentas por Pagar.</w:t>
            </w:r>
          </w:p>
        </w:tc>
      </w:tr>
      <w:tr>
        <w:tc>
          <w:tcPr>
            <w:tcW w:type="dxa" w:w="20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Pendiente</w:t>
            </w:r>
          </w:p>
        </w:tc>
        <w:tc>
          <w:tcPr>
            <w:tcW w:type="dxa" w:w="73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Ya autorizada (o vinculada a una OC autorizada) y dentro del flujo de pago. Sin abonos registrados todavía.</w:t>
            </w:r>
          </w:p>
        </w:tc>
      </w:tr>
      <w:tr>
        <w:tc>
          <w:tcPr>
            <w:tcW w:type="dxa" w:w="20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Abonada</w:t>
            </w:r>
          </w:p>
        </w:tc>
        <w:tc>
          <w:tcPr>
            <w:tcW w:type="dxa" w:w="73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Tiene al menos un pago parcial registrado; conserva un saldo pendiente mayor a cero.</w:t>
            </w:r>
          </w:p>
        </w:tc>
      </w:tr>
      <w:tr>
        <w:tc>
          <w:tcPr>
            <w:tcW w:type="dxa" w:w="20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Pagada</w:t>
            </w:r>
          </w:p>
        </w:tc>
        <w:tc>
          <w:tcPr>
            <w:tcW w:type="dxa" w:w="73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El saldo llegó a cero; ya no requiere más pagos.</w:t>
            </w:r>
          </w:p>
        </w:tc>
      </w:tr>
      <w:tr>
        <w:tc>
          <w:tcPr>
            <w:tcW w:type="dxa" w:w="20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Rechazada</w:t>
            </w:r>
          </w:p>
        </w:tc>
        <w:tc>
          <w:tcPr>
            <w:tcW w:type="dxa" w:w="73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No fue autorizada; queda fuera del flujo de Cuentas por Pagar.</w:t>
            </w:r>
          </w:p>
        </w:tc>
      </w:tr>
      <w:tr>
        <w:tc>
          <w:tcPr>
            <w:tcW w:type="dxa" w:w="20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Cancelada</w:t>
            </w:r>
          </w:p>
        </w:tc>
        <w:tc>
          <w:tcPr>
            <w:tcW w:type="dxa" w:w="73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Fue cancelada manualmente desde Compras antes de completar su pago; no se muestra en Cuentas por Pagar.</w:t>
            </w:r>
          </w:p>
        </w:tc>
      </w:tr>
    </w:tbl>
    <w:p>
      <w:pPr>
        <w:pStyle w:val="Heading2"/>
        <w:spacing w:after="160" w:before="320"/>
      </w:pPr>
      <w:r>
        <w:rPr>
          <w:rFonts w:ascii="Arial" w:cs="Arial" w:eastAsia="Arial" w:hAnsi="Arial"/>
          <w:b/>
          <w:bCs/>
          <w:color w:val="2563EB"/>
          <w:sz w:val="27"/>
          <w:szCs w:val="27"/>
        </w:rPr>
        <w:t xml:space="preserve">5.2 Indicadores (KPIs)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1800"/>
        <w:gridCol w:w="7560"/>
      </w:tblGrid>
      <w:tr>
        <w:trPr>
          <w:tblHeader/>
        </w:trPr>
        <w:tc>
          <w:tcPr>
            <w:tcW w:type="dxa" w:w="18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Indicador</w:t>
            </w:r>
          </w:p>
        </w:tc>
        <w:tc>
          <w:tcPr>
            <w:tcW w:type="dxa" w:w="75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Qué significa</w:t>
            </w:r>
          </w:p>
        </w:tc>
      </w:tr>
      <w:tr>
        <w:tc>
          <w:tcPr>
            <w:tcW w:type="dxa" w:w="18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Total por Pagar</w:t>
            </w:r>
          </w:p>
        </w:tc>
        <w:tc>
          <w:tcPr>
            <w:tcW w:type="dxa" w:w="7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Suma del saldo pendiente de todas las Órdenes de Pago en status "Pendiente" o "Abonada".</w:t>
            </w:r>
          </w:p>
        </w:tc>
      </w:tr>
      <w:tr>
        <w:tc>
          <w:tcPr>
            <w:tcW w:type="dxa" w:w="18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Vencido</w:t>
            </w:r>
          </w:p>
        </w:tc>
        <w:tc>
          <w:tcPr>
            <w:tcW w:type="dxa" w:w="7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Parte de ese total cuya fecha de vencimiento ya pasó.</w:t>
            </w:r>
          </w:p>
        </w:tc>
      </w:tr>
      <w:tr>
        <w:tc>
          <w:tcPr>
            <w:tcW w:type="dxa" w:w="18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Por Vencer</w:t>
            </w:r>
          </w:p>
        </w:tc>
        <w:tc>
          <w:tcPr>
            <w:tcW w:type="dxa" w:w="75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Parte de ese total cuya fecha de vencimiento todavía no llega.</w:t>
            </w:r>
          </w:p>
        </w:tc>
      </w:tr>
      <w:tr>
        <w:tc>
          <w:tcPr>
            <w:tcW w:type="dxa" w:w="18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Próx. Pago</w:t>
            </w:r>
          </w:p>
        </w:tc>
        <w:tc>
          <w:tcPr>
            <w:tcW w:type="dxa" w:w="75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Monto total del siguiente martes de pago programado, según el ciclo semanal (ver sección 5.3). El indicador cambia de color según qué tan próxima esté esa fecha (atrasado, hoy o próximos días).</w:t>
            </w:r>
          </w:p>
        </w:tc>
      </w:tr>
    </w:tbl>
    <w:p>
      <w:pPr>
        <w:pStyle w:val="Heading2"/>
        <w:spacing w:after="160" w:before="320"/>
      </w:pPr>
      <w:r>
        <w:rPr>
          <w:rFonts w:ascii="Arial" w:cs="Arial" w:eastAsia="Arial" w:hAnsi="Arial"/>
          <w:b/>
          <w:bCs/>
          <w:color w:val="2563EB"/>
          <w:sz w:val="27"/>
          <w:szCs w:val="27"/>
        </w:rPr>
        <w:t xml:space="preserve">5.3 Pestaña Programación de Pago</w:t>
      </w:r>
    </w:p>
    <w:p>
      <w:pPr>
        <w:spacing w:after="160" w:before="0" w:line="276"/>
      </w:pPr>
      <w:r>
        <w:rPr>
          <w:rFonts w:ascii="Arial" w:cs="Arial" w:eastAsia="Arial" w:hAnsi="Arial"/>
          <w:sz w:val="21"/>
          <w:szCs w:val="21"/>
        </w:rPr>
        <w:t xml:space="preserve">Esta vista agrupa las Órdenes de Pago pendientes según la política de pago semanal de la organización.</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Toda Orden de Pago autorizada y enviada a Cuentas por Pagar entre el martes y el lunes siguiente se da por recibida esa semana y se paga el martes siguiente (el "día de pago" establecido).</w:t>
      </w:r>
    </w:p>
    <w:p>
      <w:pPr>
        <w:spacing w:after="160" w:before="0" w:line="276"/>
      </w:pPr>
      <w:r>
        <w:rPr>
          <w:rFonts w:ascii="Arial" w:cs="Arial" w:eastAsia="Arial" w:hAnsi="Arial"/>
          <w:sz w:val="21"/>
          <w:szCs w:val="21"/>
        </w:rPr>
        <w:t xml:space="preserve">Cada grupo se muestra como una tarjeta encabezada por la fecha del martes de pago correspondiente, con una etiqueta de estado:</w:t>
      </w:r>
    </w:p>
    <w:p>
      <w:pPr>
        <w:pStyle w:val="ListParagraph"/>
        <w:numPr>
          <w:ilvl w:val="0"/>
          <w:numId w:val="2"/>
        </w:numPr>
        <w:spacing w:after="80"/>
      </w:pPr>
      <w:r>
        <w:rPr>
          <w:rFonts w:ascii="Arial" w:cs="Arial" w:eastAsia="Arial" w:hAnsi="Arial"/>
          <w:sz w:val="21"/>
          <w:szCs w:val="21"/>
        </w:rPr>
        <w:t xml:space="preserve">Atrasado — el martes de pago ya pasó y el grupo sigue con saldo pendiente.</w:t>
      </w:r>
    </w:p>
    <w:p>
      <w:pPr>
        <w:pStyle w:val="ListParagraph"/>
        <w:numPr>
          <w:ilvl w:val="0"/>
          <w:numId w:val="2"/>
        </w:numPr>
        <w:spacing w:after="80"/>
      </w:pPr>
      <w:r>
        <w:rPr>
          <w:rFonts w:ascii="Arial" w:cs="Arial" w:eastAsia="Arial" w:hAnsi="Arial"/>
          <w:sz w:val="21"/>
          <w:szCs w:val="21"/>
        </w:rPr>
        <w:t xml:space="preserve">Se paga HOY — el martes de pago es el día de hoy.</w:t>
      </w:r>
    </w:p>
    <w:p>
      <w:pPr>
        <w:pStyle w:val="ListParagraph"/>
        <w:numPr>
          <w:ilvl w:val="0"/>
          <w:numId w:val="2"/>
        </w:numPr>
        <w:spacing w:after="80"/>
      </w:pPr>
      <w:r>
        <w:rPr>
          <w:rFonts w:ascii="Arial" w:cs="Arial" w:eastAsia="Arial" w:hAnsi="Arial"/>
          <w:sz w:val="21"/>
          <w:szCs w:val="21"/>
        </w:rPr>
        <w:t xml:space="preserve">En X días — el martes de pago todavía no llega.</w:t>
      </w:r>
    </w:p>
    <w:p>
      <w:pPr>
        <w:spacing w:after="160" w:before="0" w:line="276"/>
      </w:pPr>
      <w:r>
        <w:rPr>
          <w:rFonts w:ascii="Arial" w:cs="Arial" w:eastAsia="Arial" w:hAnsi="Arial"/>
          <w:sz w:val="21"/>
          <w:szCs w:val="21"/>
        </w:rPr>
        <w:t xml:space="preserve">Dentro de cada tarjeta se muestra el total del grupo, el número de Órdenes de Pago que lo integran y una tabla de detalle con Folio, Proveedor, Concepto, fecha en que entró a Cuentas por Pagar, Saldo, Status y el botón Ver para abrir el detalle de cada Orden de Pago (sección 5.6).</w:t>
      </w:r>
    </w:p>
    <w:p>
      <w:pPr>
        <w:pStyle w:val="Heading2"/>
        <w:spacing w:after="160" w:before="320"/>
      </w:pPr>
      <w:r>
        <w:rPr>
          <w:rFonts w:ascii="Arial" w:cs="Arial" w:eastAsia="Arial" w:hAnsi="Arial"/>
          <w:b/>
          <w:bCs/>
          <w:color w:val="2563EB"/>
          <w:sz w:val="27"/>
          <w:szCs w:val="27"/>
        </w:rPr>
        <w:t xml:space="preserve">5.4 Pestaña Por Proveedor</w:t>
      </w:r>
    </w:p>
    <w:p>
      <w:pPr>
        <w:spacing w:after="160" w:before="0" w:line="276"/>
      </w:pPr>
      <w:r>
        <w:rPr>
          <w:rFonts w:ascii="Arial" w:cs="Arial" w:eastAsia="Arial" w:hAnsi="Arial"/>
          <w:sz w:val="21"/>
          <w:szCs w:val="21"/>
        </w:rPr>
        <w:t xml:space="preserve">Muestra un resumen de saldo pendiente agrupado por proveedor, con un buscador en la parte superior. Las columnas son: Proveedor, RFC, número de Órdenes de Pago (OPs), Saldo Pendiente y Vencido; la última fila de la tabla muestra el total general.</w:t>
      </w:r>
    </w:p>
    <w:p>
      <w:pPr>
        <w:spacing w:after="160" w:before="0" w:line="276"/>
      </w:pPr>
      <w:r>
        <w:rPr>
          <w:rFonts w:ascii="Arial" w:cs="Arial" w:eastAsia="Arial" w:hAnsi="Arial"/>
          <w:sz w:val="21"/>
          <w:szCs w:val="21"/>
        </w:rPr>
        <w:t xml:space="preserve">El botón Ver de cada proveedor abre una ficha con tres indicadores (Saldo Pendiente, Pagado, Documentos), un filtro de Status y la tabla completa de sus Órdenes de Pago, incluyendo el Almacén relacionado (cuando aplica), los indicadores de documentos adjuntos (PDF / XML de factura) y el "Día de Pago" de cada documento.</w:t>
      </w:r>
    </w:p>
    <w:p>
      <w:pPr>
        <w:pStyle w:val="Heading2"/>
        <w:spacing w:after="160" w:before="320"/>
      </w:pPr>
      <w:r>
        <w:rPr>
          <w:rFonts w:ascii="Arial" w:cs="Arial" w:eastAsia="Arial" w:hAnsi="Arial"/>
          <w:b/>
          <w:bCs/>
          <w:color w:val="2563EB"/>
          <w:sz w:val="27"/>
          <w:szCs w:val="27"/>
        </w:rPr>
        <w:t xml:space="preserve">5.5 Pestaña Antigüedad de Saldos</w:t>
      </w:r>
    </w:p>
    <w:p>
      <w:pPr>
        <w:spacing w:after="160" w:before="0" w:line="276"/>
      </w:pPr>
      <w:r>
        <w:rPr>
          <w:rFonts w:ascii="Arial" w:cs="Arial" w:eastAsia="Arial" w:hAnsi="Arial"/>
          <w:sz w:val="21"/>
          <w:szCs w:val="21"/>
        </w:rPr>
        <w:t xml:space="preserve">Presenta el saldo total pendiente distribuido en cinco bandas de vencimiento, calculadas sobre la fecha de vencimiento de cada Orden de Pago:</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716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Banda</w:t>
            </w:r>
          </w:p>
        </w:tc>
        <w:tc>
          <w:tcPr>
            <w:tcW w:type="dxa" w:w="71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Definición</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Por vencer</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La fecha de vencimiento aún no llega (0 días o menos).</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1-30 días</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Entre 1 y 30 días de vencida.</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31-60 días</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Entre 31 y 60 días de vencida.</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61-90 días</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Entre 61 y 90 días de vencida.</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+90 días</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Más de 90 días de vencida.</w:t>
            </w:r>
          </w:p>
        </w:tc>
      </w:tr>
    </w:tbl>
    <w:p>
      <w:pPr>
        <w:spacing w:after="140"/>
      </w:pPr>
    </w:p>
    <w:p>
      <w:pPr>
        <w:spacing w:after="160" w:before="0" w:line="276"/>
      </w:pPr>
      <w:r>
        <w:rPr>
          <w:rFonts w:ascii="Arial" w:cs="Arial" w:eastAsia="Arial" w:hAnsi="Arial"/>
          <w:sz w:val="21"/>
          <w:szCs w:val="21"/>
        </w:rPr>
        <w:t xml:space="preserve">Arriba se muestra una barra de distribución por banda, con el monto y el número de documentos de cada una. Debajo aparece el detalle: una tabla por banda con Folio, Proveedor, Concepto, Vencimiento, Saldo y el badge de Día de Pago de cada Orden de Pago.</w:t>
      </w:r>
    </w:p>
    <w:p>
      <w:pPr>
        <w:pStyle w:val="Heading2"/>
        <w:spacing w:after="160" w:before="320"/>
      </w:pPr>
      <w:r>
        <w:rPr>
          <w:rFonts w:ascii="Arial" w:cs="Arial" w:eastAsia="Arial" w:hAnsi="Arial"/>
          <w:b/>
          <w:bCs/>
          <w:color w:val="2563EB"/>
          <w:sz w:val="27"/>
          <w:szCs w:val="27"/>
        </w:rPr>
        <w:t xml:space="preserve">5.6 Consultar el detalle de una Orden de Pago</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Cuentas por Pagar → icono de ojo (Ver) en cualquiera de las tres pestañas</w:t>
      </w:r>
    </w:p>
    <w:p>
      <w:pPr>
        <w:spacing w:after="160" w:before="0" w:line="276"/>
      </w:pPr>
      <w:r>
        <w:rPr>
          <w:rFonts w:ascii="Arial" w:cs="Arial" w:eastAsia="Arial" w:hAnsi="Arial"/>
          <w:sz w:val="21"/>
          <w:szCs w:val="21"/>
        </w:rPr>
        <w:t xml:space="preserve">El detalle de la Orden de Pago muestra:</w:t>
      </w:r>
    </w:p>
    <w:p>
      <w:pPr>
        <w:pStyle w:val="ListParagraph"/>
        <w:numPr>
          <w:ilvl w:val="0"/>
          <w:numId w:val="2"/>
        </w:numPr>
        <w:spacing w:after="80"/>
      </w:pPr>
      <w:r>
        <w:rPr>
          <w:rFonts w:ascii="Arial" w:cs="Arial" w:eastAsia="Arial" w:hAnsi="Arial"/>
          <w:sz w:val="21"/>
          <w:szCs w:val="21"/>
        </w:rPr>
        <w:t xml:space="preserve">Folio, status y — si el status es Pendiente o Abonada — el badge de Día de Pago (Atrasado, Hoy — día de pago, o Martes DD-mmm).</w:t>
      </w:r>
    </w:p>
    <w:p>
      <w:pPr>
        <w:pStyle w:val="ListParagraph"/>
        <w:numPr>
          <w:ilvl w:val="0"/>
          <w:numId w:val="2"/>
        </w:numPr>
        <w:spacing w:after="80"/>
      </w:pPr>
      <w:r>
        <w:rPr>
          <w:rFonts w:ascii="Arial" w:cs="Arial" w:eastAsia="Arial" w:hAnsi="Arial"/>
          <w:sz w:val="21"/>
          <w:szCs w:val="21"/>
        </w:rPr>
        <w:t xml:space="preserve">Tres indicadores: Total OP, Pagado y Saldo.</w:t>
      </w:r>
    </w:p>
    <w:p>
      <w:pPr>
        <w:pStyle w:val="ListParagraph"/>
        <w:numPr>
          <w:ilvl w:val="0"/>
          <w:numId w:val="2"/>
        </w:numPr>
        <w:spacing w:after="80"/>
      </w:pPr>
      <w:r>
        <w:rPr>
          <w:rFonts w:ascii="Arial" w:cs="Arial" w:eastAsia="Arial" w:hAnsi="Arial"/>
          <w:sz w:val="21"/>
          <w:szCs w:val="21"/>
        </w:rPr>
        <w:t xml:space="preserve">Los enlaces al PDF y al XML de la factura del proveedor, si fueron adjuntados al crear la Orden de Pago en Compras. Si no hay documentos, el sistema lo indica y señala que deben adjuntarse editando la Orden de Pago desde Compras.</w:t>
      </w:r>
    </w:p>
    <w:p>
      <w:pPr>
        <w:pStyle w:val="ListParagraph"/>
        <w:numPr>
          <w:ilvl w:val="0"/>
          <w:numId w:val="2"/>
        </w:numPr>
        <w:spacing w:after="80"/>
      </w:pPr>
      <w:r>
        <w:rPr>
          <w:rFonts w:ascii="Arial" w:cs="Arial" w:eastAsia="Arial" w:hAnsi="Arial"/>
          <w:sz w:val="21"/>
          <w:szCs w:val="21"/>
        </w:rPr>
        <w:t xml:space="preserve">El Historial de Pagos: cada abono con su monto, fecha, forma de pago, número de referencia, cuenta bancaria utilizada, notas y los archivos que se hayan adjuntado (Comprobante de pago y Complemento de pago SAT).</w:t>
      </w:r>
    </w:p>
    <w:p>
      <w:pPr>
        <w:pStyle w:val="Heading2"/>
        <w:spacing w:after="160" w:before="320"/>
      </w:pPr>
      <w:r>
        <w:rPr>
          <w:rFonts w:ascii="Arial" w:cs="Arial" w:eastAsia="Arial" w:hAnsi="Arial"/>
          <w:b/>
          <w:bCs/>
          <w:color w:val="2563EB"/>
          <w:sz w:val="27"/>
          <w:szCs w:val="27"/>
        </w:rPr>
        <w:t xml:space="preserve">5.7 Registrar un pago (abono) a una Orden de Pago</w:t>
      </w:r>
    </w:p>
    <w:p>
      <w:pPr>
        <w:spacing w:after="160" w:before="0" w:line="276"/>
      </w:pPr>
      <w:r>
        <w:rPr>
          <w:rFonts w:ascii="Arial" w:cs="Arial" w:eastAsia="Arial" w:hAnsi="Arial"/>
          <w:sz w:val="21"/>
          <w:szCs w:val="21"/>
        </w:rPr>
        <w:t xml:space="preserve">Mientras la Orden de Pago no esté en status Pagada, el detalle muestra el botón Registrar Pago.</w:t>
      </w:r>
    </w:p>
    <w:p>
      <w:pPr>
        <w:spacing w:after="100" w:before="0" w:line="264"/>
        <w:ind w:left="420" w:hanging="420"/>
      </w:pPr>
      <w:r>
        <w:rPr>
          <w:rFonts w:ascii="Arial" w:cs="Arial" w:eastAsia="Arial" w:hAnsi="Arial"/>
          <w:b/>
          <w:bCs/>
          <w:color w:val="2563EB"/>
          <w:sz w:val="21"/>
          <w:szCs w:val="21"/>
        </w:rPr>
        <w:t xml:space="preserve">1.  </w:t>
      </w:r>
      <w:r>
        <w:rPr>
          <w:rFonts w:ascii="Arial" w:cs="Arial" w:eastAsia="Arial" w:hAnsi="Arial"/>
          <w:sz w:val="21"/>
          <w:szCs w:val="21"/>
        </w:rPr>
        <w:t xml:space="preserve">Abre el detalle de la Orden de Pago (Ver) y haz clic en Registrar Pago.</w:t>
      </w:r>
    </w:p>
    <w:p>
      <w:pPr>
        <w:spacing w:after="100" w:before="0" w:line="264"/>
        <w:ind w:left="420" w:hanging="420"/>
      </w:pPr>
      <w:r>
        <w:rPr>
          <w:rFonts w:ascii="Arial" w:cs="Arial" w:eastAsia="Arial" w:hAnsi="Arial"/>
          <w:b/>
          <w:bCs/>
          <w:color w:val="2563EB"/>
          <w:sz w:val="21"/>
          <w:szCs w:val="21"/>
        </w:rPr>
        <w:t xml:space="preserve">2.  </w:t>
      </w:r>
      <w:r>
        <w:rPr>
          <w:rFonts w:ascii="Arial" w:cs="Arial" w:eastAsia="Arial" w:hAnsi="Arial"/>
          <w:sz w:val="21"/>
          <w:szCs w:val="21"/>
        </w:rPr>
        <w:t xml:space="preserve">Si vas a pagar el saldo completo, deja marcada la casilla Pago total (el monto se llena automáticamente con el saldo). Para un pago parcial, desmárcala y captura el monto.</w:t>
      </w:r>
    </w:p>
    <w:p>
      <w:pPr>
        <w:spacing w:after="100" w:before="0" w:line="264"/>
        <w:ind w:left="420" w:hanging="420"/>
      </w:pPr>
      <w:r>
        <w:rPr>
          <w:rFonts w:ascii="Arial" w:cs="Arial" w:eastAsia="Arial" w:hAnsi="Arial"/>
          <w:b/>
          <w:bCs/>
          <w:color w:val="2563EB"/>
          <w:sz w:val="21"/>
          <w:szCs w:val="21"/>
        </w:rPr>
        <w:t xml:space="preserve">3.  </w:t>
      </w:r>
      <w:r>
        <w:rPr>
          <w:rFonts w:ascii="Arial" w:cs="Arial" w:eastAsia="Arial" w:hAnsi="Arial"/>
          <w:sz w:val="21"/>
          <w:szCs w:val="21"/>
        </w:rPr>
        <w:t xml:space="preserve">Captura la Fecha del pago.</w:t>
      </w:r>
    </w:p>
    <w:p>
      <w:pPr>
        <w:spacing w:after="100" w:before="0" w:line="264"/>
        <w:ind w:left="420" w:hanging="420"/>
      </w:pPr>
      <w:r>
        <w:rPr>
          <w:rFonts w:ascii="Arial" w:cs="Arial" w:eastAsia="Arial" w:hAnsi="Arial"/>
          <w:b/>
          <w:bCs/>
          <w:color w:val="2563EB"/>
          <w:sz w:val="21"/>
          <w:szCs w:val="21"/>
        </w:rPr>
        <w:t xml:space="preserve">4.  </w:t>
      </w:r>
      <w:r>
        <w:rPr>
          <w:rFonts w:ascii="Arial" w:cs="Arial" w:eastAsia="Arial" w:hAnsi="Arial"/>
          <w:sz w:val="21"/>
          <w:szCs w:val="21"/>
        </w:rPr>
        <w:t xml:space="preserve">Elige la Forma de Pago (tomada del catálogo de formas de pago).</w:t>
      </w:r>
    </w:p>
    <w:p>
      <w:pPr>
        <w:spacing w:after="100" w:before="0" w:line="264"/>
        <w:ind w:left="420" w:hanging="420"/>
      </w:pPr>
      <w:r>
        <w:rPr>
          <w:rFonts w:ascii="Arial" w:cs="Arial" w:eastAsia="Arial" w:hAnsi="Arial"/>
          <w:b/>
          <w:bCs/>
          <w:color w:val="2563EB"/>
          <w:sz w:val="21"/>
          <w:szCs w:val="21"/>
        </w:rPr>
        <w:t xml:space="preserve">5.  </w:t>
      </w:r>
      <w:r>
        <w:rPr>
          <w:rFonts w:ascii="Arial" w:cs="Arial" w:eastAsia="Arial" w:hAnsi="Arial"/>
          <w:sz w:val="21"/>
          <w:szCs w:val="21"/>
        </w:rPr>
        <w:t xml:space="preserve">Si aplica, captura el No. de Referencia / Transferencia.</w:t>
      </w:r>
    </w:p>
    <w:p>
      <w:pPr>
        <w:spacing w:after="100" w:before="0" w:line="264"/>
        <w:ind w:left="420" w:hanging="420"/>
      </w:pPr>
      <w:r>
        <w:rPr>
          <w:rFonts w:ascii="Arial" w:cs="Arial" w:eastAsia="Arial" w:hAnsi="Arial"/>
          <w:b/>
          <w:bCs/>
          <w:color w:val="2563EB"/>
          <w:sz w:val="21"/>
          <w:szCs w:val="21"/>
        </w:rPr>
        <w:t xml:space="preserve">6.  </w:t>
      </w:r>
      <w:r>
        <w:rPr>
          <w:rFonts w:ascii="Arial" w:cs="Arial" w:eastAsia="Arial" w:hAnsi="Arial"/>
          <w:sz w:val="21"/>
          <w:szCs w:val="21"/>
        </w:rPr>
        <w:t xml:space="preserve">Selecciona la Cuenta Bancaria Origen de la que sale el dinero. El sistema muestra el saldo disponible de esa cuenta; si el monto del pago es mayor a ese saldo, aparece una advertencia de "Saldo insuficiente".</w:t>
      </w:r>
    </w:p>
    <w:p>
      <w:pPr>
        <w:spacing w:after="100" w:before="0" w:line="264"/>
        <w:ind w:left="420" w:hanging="420"/>
      </w:pPr>
      <w:r>
        <w:rPr>
          <w:rFonts w:ascii="Arial" w:cs="Arial" w:eastAsia="Arial" w:hAnsi="Arial"/>
          <w:b/>
          <w:bCs/>
          <w:color w:val="2563EB"/>
          <w:sz w:val="21"/>
          <w:szCs w:val="21"/>
        </w:rPr>
        <w:t xml:space="preserve">7.  </w:t>
      </w:r>
      <w:r>
        <w:rPr>
          <w:rFonts w:ascii="Arial" w:cs="Arial" w:eastAsia="Arial" w:hAnsi="Arial"/>
          <w:sz w:val="21"/>
          <w:szCs w:val="21"/>
        </w:rPr>
        <w:t xml:space="preserve">Adjunta, si los tienes, el Comprobante de Pago (transferencia o depósito) y el Complemento de Pago del SAT (XML).</w:t>
      </w:r>
    </w:p>
    <w:p>
      <w:pPr>
        <w:spacing w:after="100" w:before="0" w:line="264"/>
        <w:ind w:left="420" w:hanging="420"/>
      </w:pPr>
      <w:r>
        <w:rPr>
          <w:rFonts w:ascii="Arial" w:cs="Arial" w:eastAsia="Arial" w:hAnsi="Arial"/>
          <w:b/>
          <w:bCs/>
          <w:color w:val="2563EB"/>
          <w:sz w:val="21"/>
          <w:szCs w:val="21"/>
        </w:rPr>
        <w:t xml:space="preserve">8.  </w:t>
      </w:r>
      <w:r>
        <w:rPr>
          <w:rFonts w:ascii="Arial" w:cs="Arial" w:eastAsia="Arial" w:hAnsi="Arial"/>
          <w:sz w:val="21"/>
          <w:szCs w:val="21"/>
        </w:rPr>
        <w:t xml:space="preserve">Agrega Notas si lo necesitas.</w:t>
      </w:r>
    </w:p>
    <w:p>
      <w:pPr>
        <w:spacing w:after="100" w:before="0" w:line="264"/>
        <w:ind w:left="420" w:hanging="420"/>
      </w:pPr>
      <w:r>
        <w:rPr>
          <w:rFonts w:ascii="Arial" w:cs="Arial" w:eastAsia="Arial" w:hAnsi="Arial"/>
          <w:b/>
          <w:bCs/>
          <w:color w:val="2563EB"/>
          <w:sz w:val="21"/>
          <w:szCs w:val="21"/>
        </w:rPr>
        <w:t xml:space="preserve">9.  </w:t>
      </w:r>
      <w:r>
        <w:rPr>
          <w:rFonts w:ascii="Arial" w:cs="Arial" w:eastAsia="Arial" w:hAnsi="Arial"/>
          <w:sz w:val="21"/>
          <w:szCs w:val="21"/>
        </w:rPr>
        <w:t xml:space="preserve">Haz clic en Registrar Pago Total (o Registrar Pago Parcial).</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La advertencia de "Saldo insuficiente" es solo informativa: el sistema no bloquea el registro del pago aunque el monto exceda el saldo disponible de la cuenta bancaria seleccionada. Verifica el saldo real de la cuenta antes de confirmar un pago que la deje en números rojos.</w:t>
      </w:r>
    </w:p>
    <w:p>
      <w:pPr>
        <w:spacing w:after="160" w:before="0" w:line="276"/>
      </w:pPr>
      <w:r>
        <w:rPr>
          <w:rFonts w:ascii="Arial" w:cs="Arial" w:eastAsia="Arial" w:hAnsi="Arial"/>
          <w:sz w:val="21"/>
          <w:szCs w:val="21"/>
        </w:rPr>
        <w:t xml:space="preserve">Al guardar, ocurren automáticamente tres cosas: (1) se agrega el abono al historial de la Orden de Pago; (2) el status de la Orden de Pago cambia a Abonada (si queda saldo) o Pagada (si el saldo llega a cero); y (3) si elegiste una cuenta bancaria origen, se genera un movimiento de tipo Cargo en esa cuenta y su saldo se descuenta de inmediato — este es el mismo movimiento que verás luego en el historial de la cuenta bancaria (sección 4.6).</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Desde estas pantallas de Tesorería no es posible cancelar una Orden de Pago. La cancelación solo está disponible en el módulo de Compras.</w:t>
      </w:r>
    </w:p>
    <w:p>
      <w:pPr>
        <w:pStyle w:val="Heading1"/>
        <w:spacing w:after="220" w:before="0"/>
      </w:pPr>
      <w:r>
        <w:rPr>
          <w:rFonts w:ascii="Arial" w:cs="Arial" w:eastAsia="Arial" w:hAnsi="Arial"/>
          <w:b/>
          <w:bCs/>
          <w:color w:val="1E3A5F"/>
          <w:sz w:val="34"/>
          <w:szCs w:val="34"/>
        </w:rPr>
        <w:t xml:space="preserve">6. Reporte de Órdenes de Pago por Centro de Costo / Área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Menú lateral → Finanzas → Reportes → grupo Tesorería → Órdenes de Pago por CC / Área</w:t>
      </w:r>
    </w:p>
    <w:p>
      <w:pPr>
        <w:spacing w:after="160" w:before="0" w:line="276"/>
      </w:pPr>
      <w:r>
        <w:rPr>
          <w:rFonts w:ascii="Arial" w:cs="Arial" w:eastAsia="Arial" w:hAnsi="Arial"/>
          <w:sz w:val="21"/>
          <w:szCs w:val="21"/>
        </w:rPr>
        <w:t xml:space="preserve">Este reporte agrupa todas las Órdenes de Pago del sistema por Centro de Costo y, dentro de cada uno, por Área. Está disponible tanto en el grupo "Tesorería" como en el grupo "Compras" del menú de Reportes — es el mismo reporte en ambos casos.</w:t>
      </w:r>
    </w:p>
    <w:p>
      <w:pPr>
        <w:pStyle w:val="Heading2"/>
        <w:spacing w:after="160" w:before="320"/>
      </w:pPr>
      <w:r>
        <w:rPr>
          <w:rFonts w:ascii="Arial" w:cs="Arial" w:eastAsia="Arial" w:hAnsi="Arial"/>
          <w:b/>
          <w:bCs/>
          <w:color w:val="2563EB"/>
          <w:sz w:val="27"/>
          <w:szCs w:val="27"/>
        </w:rPr>
        <w:t xml:space="preserve">6.1 Cómo acceder</w:t>
      </w:r>
    </w:p>
    <w:p>
      <w:pPr>
        <w:spacing w:after="160" w:before="0" w:line="276"/>
      </w:pPr>
      <w:r>
        <w:rPr>
          <w:rFonts w:ascii="Arial" w:cs="Arial" w:eastAsia="Arial" w:hAnsi="Arial"/>
          <w:sz w:val="21"/>
          <w:szCs w:val="21"/>
        </w:rPr>
        <w:t xml:space="preserve">Al entrar a Reportes desde el menú Finanzas verás las tarjetas de los grupos que tu rol puede consultar (por ejemplo Tesorería e Ingresos). Dentro del grupo Tesorería, elige la tarjeta "Órdenes de Pago por CC / Área".</w:t>
      </w:r>
    </w:p>
    <w:p>
      <w:pPr>
        <w:pStyle w:val="Heading2"/>
        <w:spacing w:after="160" w:before="320"/>
      </w:pPr>
      <w:r>
        <w:rPr>
          <w:rFonts w:ascii="Arial" w:cs="Arial" w:eastAsia="Arial" w:hAnsi="Arial"/>
          <w:b/>
          <w:bCs/>
          <w:color w:val="2563EB"/>
          <w:sz w:val="27"/>
          <w:szCs w:val="27"/>
        </w:rPr>
        <w:t xml:space="preserve">6.2 Filtros disponibles</w:t>
      </w:r>
    </w:p>
    <w:p>
      <w:pPr>
        <w:spacing w:after="160" w:before="0" w:line="276"/>
      </w:pPr>
      <w:r>
        <w:rPr>
          <w:rFonts w:ascii="Arial" w:cs="Arial" w:eastAsia="Arial" w:hAnsi="Arial"/>
          <w:sz w:val="21"/>
          <w:szCs w:val="21"/>
        </w:rPr>
        <w:t xml:space="preserve">En la parte superior del reporte puedes combinar los siguientes filtros:</w:t>
      </w:r>
    </w:p>
    <w:p>
      <w:pPr>
        <w:pStyle w:val="ListParagraph"/>
        <w:numPr>
          <w:ilvl w:val="0"/>
          <w:numId w:val="2"/>
        </w:numPr>
        <w:spacing w:after="80"/>
      </w:pPr>
      <w:r>
        <w:rPr>
          <w:rFonts w:ascii="Arial" w:cs="Arial" w:eastAsia="Arial" w:hAnsi="Arial"/>
          <w:sz w:val="21"/>
          <w:szCs w:val="21"/>
        </w:rPr>
        <w:t xml:space="preserve">Status — Pendiente Auth, Pendiente, Pagada, Rechazada o Cancelada (a diferencia de la pantalla de Cuentas por Pagar, este reporte sí incluye los cinco status).</w:t>
      </w:r>
    </w:p>
    <w:p>
      <w:pPr>
        <w:pStyle w:val="ListParagraph"/>
        <w:numPr>
          <w:ilvl w:val="0"/>
          <w:numId w:val="2"/>
        </w:numPr>
        <w:spacing w:after="80"/>
      </w:pPr>
      <w:r>
        <w:rPr>
          <w:rFonts w:ascii="Arial" w:cs="Arial" w:eastAsia="Arial" w:hAnsi="Arial"/>
          <w:sz w:val="21"/>
          <w:szCs w:val="21"/>
        </w:rPr>
        <w:t xml:space="preserve">Centro de Costo y, de forma dependiente, Área (la lista de áreas se ajusta al Centro de Costo elegido).</w:t>
      </w:r>
    </w:p>
    <w:p>
      <w:pPr>
        <w:pStyle w:val="ListParagraph"/>
        <w:numPr>
          <w:ilvl w:val="0"/>
          <w:numId w:val="2"/>
        </w:numPr>
        <w:spacing w:after="80"/>
      </w:pPr>
      <w:r>
        <w:rPr>
          <w:rFonts w:ascii="Arial" w:cs="Arial" w:eastAsia="Arial" w:hAnsi="Arial"/>
          <w:sz w:val="21"/>
          <w:szCs w:val="21"/>
        </w:rPr>
        <w:t xml:space="preserve">Proveedor.</w:t>
      </w:r>
    </w:p>
    <w:p>
      <w:pPr>
        <w:pStyle w:val="ListParagraph"/>
        <w:numPr>
          <w:ilvl w:val="0"/>
          <w:numId w:val="2"/>
        </w:numPr>
        <w:spacing w:after="80"/>
      </w:pPr>
      <w:r>
        <w:rPr>
          <w:rFonts w:ascii="Arial" w:cs="Arial" w:eastAsia="Arial" w:hAnsi="Arial"/>
          <w:sz w:val="21"/>
          <w:szCs w:val="21"/>
        </w:rPr>
        <w:t xml:space="preserve">Tipo de Gasto (Servicios Profesionales, Mantenimiento, Nómina, Impuestos, etc.).</w:t>
      </w:r>
    </w:p>
    <w:p>
      <w:pPr>
        <w:pStyle w:val="ListParagraph"/>
        <w:numPr>
          <w:ilvl w:val="0"/>
          <w:numId w:val="2"/>
        </w:numPr>
        <w:spacing w:after="80"/>
      </w:pPr>
      <w:r>
        <w:rPr>
          <w:rFonts w:ascii="Arial" w:cs="Arial" w:eastAsia="Arial" w:hAnsi="Arial"/>
          <w:sz w:val="21"/>
          <w:szCs w:val="21"/>
        </w:rPr>
        <w:t xml:space="preserve">Rango de fechas, sobre la fecha de la Orden de Pago.</w:t>
      </w:r>
    </w:p>
    <w:p>
      <w:pPr>
        <w:pStyle w:val="Heading2"/>
        <w:spacing w:after="160" w:before="320"/>
      </w:pPr>
      <w:r>
        <w:rPr>
          <w:rFonts w:ascii="Arial" w:cs="Arial" w:eastAsia="Arial" w:hAnsi="Arial"/>
          <w:b/>
          <w:bCs/>
          <w:color w:val="2563EB"/>
          <w:sz w:val="27"/>
          <w:szCs w:val="27"/>
        </w:rPr>
        <w:t xml:space="preserve">6.3 Indicadores (KPIs)</w:t>
      </w:r>
    </w:p>
    <w:p>
      <w:pPr>
        <w:spacing w:after="160" w:before="0" w:line="276"/>
      </w:pPr>
      <w:r>
        <w:rPr>
          <w:rFonts w:ascii="Arial" w:cs="Arial" w:eastAsia="Arial" w:hAnsi="Arial"/>
          <w:sz w:val="21"/>
          <w:szCs w:val="21"/>
        </w:rPr>
        <w:t xml:space="preserve">El reporte muestra dos filas de indicadores:</w:t>
      </w:r>
    </w:p>
    <w:p>
      <w:pPr>
        <w:pStyle w:val="ListParagraph"/>
        <w:numPr>
          <w:ilvl w:val="0"/>
          <w:numId w:val="2"/>
        </w:numPr>
        <w:spacing w:after="80"/>
      </w:pPr>
      <w:r>
        <w:rPr>
          <w:rFonts w:ascii="Arial" w:cs="Arial" w:eastAsia="Arial" w:hAnsi="Arial"/>
          <w:sz w:val="21"/>
          <w:szCs w:val="21"/>
        </w:rPr>
        <w:t xml:space="preserve">Cinco tarjetas, una por cada status, con el monto y el número de Órdenes de Pago de cada uno. Estas tarjetas siempre reflejan la distribución completa por status (ignoran el filtro de Status para que puedas comparar), pero sí respetan los demás filtros.</w:t>
      </w:r>
    </w:p>
    <w:p>
      <w:pPr>
        <w:pStyle w:val="ListParagraph"/>
        <w:numPr>
          <w:ilvl w:val="0"/>
          <w:numId w:val="2"/>
        </w:numPr>
        <w:spacing w:after="80"/>
      </w:pPr>
      <w:r>
        <w:rPr>
          <w:rFonts w:ascii="Arial" w:cs="Arial" w:eastAsia="Arial" w:hAnsi="Arial"/>
          <w:sz w:val="21"/>
          <w:szCs w:val="21"/>
        </w:rPr>
        <w:t xml:space="preserve">Cuatro tarjetas de totales sobre el conjunto ya filtrado: Total del rango, Pagado, Por pagar y Total de Órdenes.</w:t>
      </w:r>
    </w:p>
    <w:p>
      <w:pPr>
        <w:pStyle w:val="Heading2"/>
        <w:spacing w:after="160" w:before="320"/>
      </w:pPr>
      <w:r>
        <w:rPr>
          <w:rFonts w:ascii="Arial" w:cs="Arial" w:eastAsia="Arial" w:hAnsi="Arial"/>
          <w:b/>
          <w:bCs/>
          <w:color w:val="2563EB"/>
          <w:sz w:val="27"/>
          <w:szCs w:val="27"/>
        </w:rPr>
        <w:t xml:space="preserve">6.4 Vista Jerárquica</w:t>
      </w:r>
    </w:p>
    <w:p>
      <w:pPr>
        <w:spacing w:after="160" w:before="0" w:line="276"/>
      </w:pPr>
      <w:r>
        <w:rPr>
          <w:rFonts w:ascii="Arial" w:cs="Arial" w:eastAsia="Arial" w:hAnsi="Arial"/>
          <w:sz w:val="21"/>
          <w:szCs w:val="21"/>
        </w:rPr>
        <w:t xml:space="preserve">Es la vista que se abre por defecto. Organiza la información en tres niveles: Centro de Costo → Área → Órdenes de Pago. Cada fila de Centro de Costo y de Área es una fila colapsable — haz clic sobre ella para expandir o contraer su contenido — y muestra sus propios subtotales de Monto, Pagado y Saldo. Al final de la tabla aparece el Total General.</w:t>
      </w:r>
    </w:p>
    <w:p>
      <w:pPr>
        <w:spacing w:after="160" w:before="0" w:line="276"/>
      </w:pPr>
      <w:r>
        <w:rPr>
          <w:rFonts w:ascii="Arial" w:cs="Arial" w:eastAsia="Arial" w:hAnsi="Arial"/>
          <w:sz w:val="21"/>
          <w:szCs w:val="21"/>
        </w:rPr>
        <w:t xml:space="preserve">Los botones Expandir todo y Colapsar, en la parte superior, abren o cierran todos los grupos de una sola vez.</w:t>
      </w:r>
    </w:p>
    <w:p>
      <w:pPr>
        <w:pStyle w:val="Heading2"/>
        <w:spacing w:after="160" w:before="320"/>
      </w:pPr>
      <w:r>
        <w:rPr>
          <w:rFonts w:ascii="Arial" w:cs="Arial" w:eastAsia="Arial" w:hAnsi="Arial"/>
          <w:b/>
          <w:bCs/>
          <w:color w:val="2563EB"/>
          <w:sz w:val="27"/>
          <w:szCs w:val="27"/>
        </w:rPr>
        <w:t xml:space="preserve">6.5 Vista Matriz CC × Área</w:t>
      </w:r>
    </w:p>
    <w:p>
      <w:pPr>
        <w:spacing w:after="160" w:before="0" w:line="276"/>
      </w:pPr>
      <w:r>
        <w:rPr>
          <w:rFonts w:ascii="Arial" w:cs="Arial" w:eastAsia="Arial" w:hAnsi="Arial"/>
          <w:sz w:val="21"/>
          <w:szCs w:val="21"/>
        </w:rPr>
        <w:t xml:space="preserve">Esta segunda pestaña presenta la misma información en formato de tabla pivote: una fila por Centro de Costo, una columna por cada Área que aparezca en el conjunto filtrado, y en cada celda el monto total correspondiente. La tabla incluye una columna de Total por Centro de Costo y una fila de Total por Área al final; tanto el encabezado como la primera columna permanecen visibles al desplazarte horizontalmente por la tabla.</w:t>
      </w:r>
    </w:p>
    <w:p>
      <w:pPr>
        <w:pStyle w:val="Heading2"/>
        <w:spacing w:after="160" w:before="320"/>
      </w:pPr>
      <w:r>
        <w:rPr>
          <w:rFonts w:ascii="Arial" w:cs="Arial" w:eastAsia="Arial" w:hAnsi="Arial"/>
          <w:b/>
          <w:bCs/>
          <w:color w:val="2563EB"/>
          <w:sz w:val="27"/>
          <w:szCs w:val="27"/>
        </w:rPr>
        <w:t xml:space="preserve">6.6 Exportar a Excel</w:t>
      </w:r>
    </w:p>
    <w:p>
      <w:pPr>
        <w:spacing w:after="160" w:before="0" w:line="276"/>
      </w:pPr>
      <w:r>
        <w:rPr>
          <w:rFonts w:ascii="Arial" w:cs="Arial" w:eastAsia="Arial" w:hAnsi="Arial"/>
          <w:sz w:val="21"/>
          <w:szCs w:val="21"/>
        </w:rPr>
        <w:t xml:space="preserve">El botón Exportar Excel genera un archivo con tres hojas:</w:t>
      </w:r>
    </w:p>
    <w:p>
      <w:pPr>
        <w:pStyle w:val="ListParagraph"/>
        <w:numPr>
          <w:ilvl w:val="0"/>
          <w:numId w:val="2"/>
        </w:numPr>
        <w:spacing w:after="80"/>
      </w:pPr>
      <w:r>
        <w:rPr>
          <w:rFonts w:ascii="Arial" w:cs="Arial" w:eastAsia="Arial" w:hAnsi="Arial"/>
          <w:sz w:val="21"/>
          <w:szCs w:val="21"/>
        </w:rPr>
        <w:t xml:space="preserve">Resumen — una fila por combinación de Centro de Costo y Área, con número de Órdenes de Pago, monto total, pagado y saldo.</w:t>
      </w:r>
    </w:p>
    <w:p>
      <w:pPr>
        <w:pStyle w:val="ListParagraph"/>
        <w:numPr>
          <w:ilvl w:val="0"/>
          <w:numId w:val="2"/>
        </w:numPr>
        <w:spacing w:after="80"/>
      </w:pPr>
      <w:r>
        <w:rPr>
          <w:rFonts w:ascii="Arial" w:cs="Arial" w:eastAsia="Arial" w:hAnsi="Arial"/>
          <w:sz w:val="21"/>
          <w:szCs w:val="21"/>
        </w:rPr>
        <w:t xml:space="preserve">Detalle — el listado completo de Órdenes de Pago filtradas, con Centro de Costo, Área, proveedor, fechas, montos y status.</w:t>
      </w:r>
    </w:p>
    <w:p>
      <w:pPr>
        <w:pStyle w:val="ListParagraph"/>
        <w:numPr>
          <w:ilvl w:val="0"/>
          <w:numId w:val="2"/>
        </w:numPr>
        <w:spacing w:after="80"/>
      </w:pPr>
      <w:r>
        <w:rPr>
          <w:rFonts w:ascii="Arial" w:cs="Arial" w:eastAsia="Arial" w:hAnsi="Arial"/>
          <w:sz w:val="21"/>
          <w:szCs w:val="21"/>
        </w:rPr>
        <w:t xml:space="preserve">Matriz CC x Área — la tabla pivote completa, igual a la vista de la sección 6.5.</w:t>
      </w:r>
    </w:p>
    <w:p>
      <w:pPr>
        <w:spacing w:after="160" w:before="0" w:line="276"/>
      </w:pPr>
      <w:r>
        <w:rPr>
          <w:rFonts w:ascii="Arial" w:cs="Arial" w:eastAsia="Arial" w:hAnsi="Arial"/>
          <w:sz w:val="21"/>
          <w:szCs w:val="21"/>
        </w:rPr>
        <w:t xml:space="preserve">El reporte también incluye un botón Imprimir (dentro de la barra de impresión) que genera una versión imprimible con el encabezado de la organización, la fecha y el número de registros.</w:t>
      </w:r>
    </w:p>
    <w:p>
      <w:pPr>
        <w:pBdr>
          <w:top w:val="single" w:color="2563EB" w:sz="6" w:space="6"/>
          <w:bottom w:val="single" w:color="2563EB" w:sz="6" w:space="6"/>
          <w:left w:val="single" w:color="2563EB" w:sz="18" w:space="8"/>
          <w:right w:val="single" w:color="2563EB" w:sz="6" w:space="6"/>
        </w:pBdr>
        <w:shd w:fill="DCEAF7" w:val="clear"/>
        <w:spacing w:after="200" w:before="120"/>
        <w:ind w:left="100" w:right="100"/>
      </w:pPr>
      <w:r>
        <w:rPr>
          <w:rFonts w:ascii="Arial" w:cs="Arial" w:eastAsia="Arial" w:hAnsi="Arial"/>
          <w:b/>
          <w:bCs/>
          <w:i/>
          <w:iCs/>
          <w:color w:val="2563EB"/>
          <w:sz w:val="19"/>
          <w:szCs w:val="19"/>
        </w:rPr>
        <w:t xml:space="preserve">NOTA: </w:t>
      </w:r>
      <w:r>
        <w:rPr>
          <w:rFonts w:ascii="Arial" w:cs="Arial" w:eastAsia="Arial" w:hAnsi="Arial"/>
          <w:i/>
          <w:iCs/>
          <w:color w:val="1B3A57"/>
          <w:sz w:val="19"/>
          <w:szCs w:val="19"/>
        </w:rPr>
        <w:t xml:space="preserve">El grupo Tesorería de Reportes incluye además otros tres reportes que no forman parte de este manual: Estado de Cuenta (movimientos por cuenta bancaria), Antigüedad de Saldos CXP y Pagos Aplicados.</w:t>
      </w:r>
    </w:p>
    <w:p>
      <w:pPr>
        <w:pStyle w:val="Heading1"/>
        <w:spacing w:after="220" w:before="0"/>
      </w:pPr>
      <w:r>
        <w:rPr>
          <w:rFonts w:ascii="Arial" w:cs="Arial" w:eastAsia="Arial" w:hAnsi="Arial"/>
          <w:b/>
          <w:bCs/>
          <w:color w:val="1E3A5F"/>
          <w:sz w:val="34"/>
          <w:szCs w:val="34"/>
        </w:rPr>
        <w:t xml:space="preserve">7. Reporte de Antigüedad de Órdenes de Pago por Centro de Costo / Área</w:t>
      </w:r>
    </w:p>
    <w:p>
      <w:pPr>
        <w:pBdr>
          <w:left w:val="single" w:color="1E3A5F" w:sz="18" w:space="6"/>
        </w:pBdr>
        <w:shd w:fill="EFEFEF" w:val="clear"/>
        <w:spacing w:after="160" w:before="80"/>
        <w:ind w:left="120"/>
      </w:pPr>
      <w:r>
        <w:rPr>
          <w:rFonts w:ascii="Arial" w:cs="Arial" w:eastAsia="Arial" w:hAnsi="Arial"/>
          <w:b/>
          <w:bCs/>
          <w:color w:val="1E3A5F"/>
          <w:sz w:val="20"/>
          <w:szCs w:val="20"/>
        </w:rPr>
        <w:t xml:space="preserve">Ruta en el sistema: </w:t>
      </w:r>
      <w:r>
        <w:rPr>
          <w:rFonts w:ascii="Arial" w:cs="Arial" w:eastAsia="Arial" w:hAnsi="Arial"/>
          <w:i/>
          <w:iCs/>
          <w:color w:val="333333"/>
          <w:sz w:val="20"/>
          <w:szCs w:val="20"/>
        </w:rPr>
        <w:t xml:space="preserve">Menú lateral → Finanzas → Reportes → grupo Tesorería → Antigüedad de OPs por CC / Área</w:t>
      </w:r>
    </w:p>
    <w:p>
      <w:pPr>
        <w:spacing w:after="160" w:before="0" w:line="276"/>
      </w:pPr>
      <w:r>
        <w:rPr>
          <w:rFonts w:ascii="Arial" w:cs="Arial" w:eastAsia="Arial" w:hAnsi="Arial"/>
          <w:sz w:val="21"/>
          <w:szCs w:val="21"/>
        </w:rPr>
        <w:t xml:space="preserve">Este reporte se enfoca únicamente en los saldos que la organización todavía debe pagar, distribuidos por banda de vencimiento y agrupados por Centro de Costo y Área. Al igual que el reporte anterior, está disponible tanto en el grupo Tesorería como en el grupo Compras del menú de Reportes.</w:t>
      </w:r>
    </w:p>
    <w:p>
      <w:pPr>
        <w:pStyle w:val="Heading2"/>
        <w:spacing w:after="160" w:before="320"/>
      </w:pPr>
      <w:r>
        <w:rPr>
          <w:rFonts w:ascii="Arial" w:cs="Arial" w:eastAsia="Arial" w:hAnsi="Arial"/>
          <w:b/>
          <w:bCs/>
          <w:color w:val="2563EB"/>
          <w:sz w:val="27"/>
          <w:szCs w:val="27"/>
        </w:rPr>
        <w:t xml:space="preserve">7.1 Cómo acceder</w:t>
      </w:r>
    </w:p>
    <w:p>
      <w:pPr>
        <w:spacing w:after="160" w:before="0" w:line="276"/>
      </w:pPr>
      <w:r>
        <w:rPr>
          <w:rFonts w:ascii="Arial" w:cs="Arial" w:eastAsia="Arial" w:hAnsi="Arial"/>
          <w:sz w:val="21"/>
          <w:szCs w:val="21"/>
        </w:rPr>
        <w:t xml:space="preserve">Desde Reportes, dentro del grupo Tesorería, elige la tarjeta "Antigüedad de OPs por CC / Área".</w:t>
      </w:r>
    </w:p>
    <w:p>
      <w:pPr>
        <w:pStyle w:val="Heading2"/>
        <w:spacing w:after="160" w:before="320"/>
      </w:pPr>
      <w:r>
        <w:rPr>
          <w:rFonts w:ascii="Arial" w:cs="Arial" w:eastAsia="Arial" w:hAnsi="Arial"/>
          <w:b/>
          <w:bCs/>
          <w:color w:val="2563EB"/>
          <w:sz w:val="27"/>
          <w:szCs w:val="27"/>
        </w:rPr>
        <w:t xml:space="preserve">7.2 Bandas de antigüedad</w:t>
      </w:r>
    </w:p>
    <w:p>
      <w:pPr>
        <w:spacing w:after="160" w:before="0" w:line="276"/>
      </w:pPr>
      <w:r>
        <w:rPr>
          <w:rFonts w:ascii="Arial" w:cs="Arial" w:eastAsia="Arial" w:hAnsi="Arial"/>
          <w:sz w:val="21"/>
          <w:szCs w:val="21"/>
        </w:rPr>
        <w:t xml:space="preserve">El universo de datos del reporte son las Órdenes de Pago con status distinto de "Pagada" y "Cancelada" que además tienen saldo mayor a cero. Cada una se clasifica en una sola banda, calculada sobre los días transcurridos desde su fecha de vencimiento (hoy contra la fecha de vencimiento):</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716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Banda</w:t>
            </w:r>
          </w:p>
        </w:tc>
        <w:tc>
          <w:tcPr>
            <w:tcW w:type="dxa" w:w="716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Definición</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Por vencer</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La fecha de vencimiento es hoy o está en el futuro (0 días o menos).</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0-30</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Entre 1 y 30 días de vencida.</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31-60</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Entre 31 y 60 días de vencida.</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61-90</w:t>
            </w:r>
          </w:p>
        </w:tc>
        <w:tc>
          <w:tcPr>
            <w:tcW w:type="dxa" w:w="7160"/>
            <w:shd w:fill="F2F2F2"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Entre 61 y 90 días de vencida.</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+90</w:t>
            </w:r>
          </w:p>
        </w:tc>
        <w:tc>
          <w:tcPr>
            <w:tcW w:type="dxa" w:w="7160"/>
            <w:shd w:fill="FFFFFF" w:val="clear"/>
            <w:tcMar>
              <w:top w:type="dxa" w:w="80"/>
              <w:left w:type="dxa" w:w="110"/>
              <w:bottom w:type="dxa" w:w="80"/>
              <w:right w:type="dxa" w:w="110"/>
            </w:tcMar>
            <w:vAlign w:val="center"/>
          </w:tcPr>
          <w:p>
            <w:r>
              <w:rPr>
                <w:rFonts w:ascii="Arial" w:cs="Arial" w:eastAsia="Arial" w:hAnsi="Arial"/>
                <w:b w:val="false"/>
                <w:bCs w:val="false"/>
                <w:color w:val="1A1A1A"/>
                <w:sz w:val="19"/>
                <w:szCs w:val="19"/>
              </w:rPr>
              <w:t xml:space="preserve">Más de 90 días de vencida.</w:t>
            </w:r>
          </w:p>
        </w:tc>
      </w:tr>
    </w:tbl>
    <w:p>
      <w:pPr>
        <w:pStyle w:val="Heading2"/>
        <w:spacing w:after="160" w:before="320"/>
      </w:pPr>
      <w:r>
        <w:rPr>
          <w:rFonts w:ascii="Arial" w:cs="Arial" w:eastAsia="Arial" w:hAnsi="Arial"/>
          <w:b/>
          <w:bCs/>
          <w:color w:val="2563EB"/>
          <w:sz w:val="27"/>
          <w:szCs w:val="27"/>
        </w:rPr>
        <w:t xml:space="preserve">7.3 Filtros disponibles</w:t>
      </w:r>
    </w:p>
    <w:p>
      <w:pPr>
        <w:pStyle w:val="ListParagraph"/>
        <w:numPr>
          <w:ilvl w:val="0"/>
          <w:numId w:val="2"/>
        </w:numPr>
        <w:spacing w:after="80"/>
      </w:pPr>
      <w:r>
        <w:rPr>
          <w:rFonts w:ascii="Arial" w:cs="Arial" w:eastAsia="Arial" w:hAnsi="Arial"/>
          <w:sz w:val="21"/>
          <w:szCs w:val="21"/>
        </w:rPr>
        <w:t xml:space="preserve">Centro de Costo y, de forma dependiente, Área.</w:t>
      </w:r>
    </w:p>
    <w:p>
      <w:pPr>
        <w:pStyle w:val="ListParagraph"/>
        <w:numPr>
          <w:ilvl w:val="0"/>
          <w:numId w:val="2"/>
        </w:numPr>
        <w:spacing w:after="80"/>
      </w:pPr>
      <w:r>
        <w:rPr>
          <w:rFonts w:ascii="Arial" w:cs="Arial" w:eastAsia="Arial" w:hAnsi="Arial"/>
          <w:sz w:val="21"/>
          <w:szCs w:val="21"/>
        </w:rPr>
        <w:t xml:space="preserve">Proveedor.</w:t>
      </w:r>
    </w:p>
    <w:p>
      <w:pPr>
        <w:pStyle w:val="ListParagraph"/>
        <w:numPr>
          <w:ilvl w:val="0"/>
          <w:numId w:val="2"/>
        </w:numPr>
        <w:spacing w:after="80"/>
      </w:pPr>
      <w:r>
        <w:rPr>
          <w:rFonts w:ascii="Arial" w:cs="Arial" w:eastAsia="Arial" w:hAnsi="Arial"/>
          <w:sz w:val="21"/>
          <w:szCs w:val="21"/>
        </w:rPr>
        <w:t xml:space="preserve">Banda de antigüedad.</w:t>
      </w:r>
    </w:p>
    <w:p>
      <w:pPr>
        <w:pStyle w:val="Heading2"/>
        <w:spacing w:after="160" w:before="320"/>
      </w:pPr>
      <w:r>
        <w:rPr>
          <w:rFonts w:ascii="Arial" w:cs="Arial" w:eastAsia="Arial" w:hAnsi="Arial"/>
          <w:b/>
          <w:bCs/>
          <w:color w:val="2563EB"/>
          <w:sz w:val="27"/>
          <w:szCs w:val="27"/>
        </w:rPr>
        <w:t xml:space="preserve">7.4 Indicadores (KPIs)</w:t>
      </w:r>
    </w:p>
    <w:p>
      <w:pPr>
        <w:spacing w:after="160" w:before="0" w:line="276"/>
      </w:pPr>
      <w:r>
        <w:rPr>
          <w:rFonts w:ascii="Arial" w:cs="Arial" w:eastAsia="Arial" w:hAnsi="Arial"/>
          <w:sz w:val="21"/>
          <w:szCs w:val="21"/>
        </w:rPr>
        <w:t xml:space="preserve">El reporte muestra cinco tarjetas, una por banda, con el monto y el porcentaje que representa sobre el saldo total filtrado; y dos tarjetas grandes con el Saldo total por pagar y el número de Órdenes de Pago con saldo.</w:t>
      </w:r>
    </w:p>
    <w:p>
      <w:pPr>
        <w:pStyle w:val="Heading2"/>
        <w:spacing w:after="160" w:before="320"/>
      </w:pPr>
      <w:r>
        <w:rPr>
          <w:rFonts w:ascii="Arial" w:cs="Arial" w:eastAsia="Arial" w:hAnsi="Arial"/>
          <w:b/>
          <w:bCs/>
          <w:color w:val="2563EB"/>
          <w:sz w:val="27"/>
          <w:szCs w:val="27"/>
        </w:rPr>
        <w:t xml:space="preserve">7.5 Lectura del reporte</w:t>
      </w:r>
    </w:p>
    <w:p>
      <w:pPr>
        <w:spacing w:after="160" w:before="0" w:line="276"/>
      </w:pPr>
      <w:r>
        <w:rPr>
          <w:rFonts w:ascii="Arial" w:cs="Arial" w:eastAsia="Arial" w:hAnsi="Arial"/>
          <w:sz w:val="21"/>
          <w:szCs w:val="21"/>
        </w:rPr>
        <w:t xml:space="preserve">La tabla se organiza igual que el reporte del capítulo 6: Centro de Costo → Área → Órdenes de Pago, con filas colapsables (botones Expandir todo / Colapsar). La diferencia es que, en lugar de una sola columna de monto, cada fila de Centro de Costo y de Área muestra una columna por cada banda de vencimiento, además de la columna de Saldo total; las celdas sin saldo en una banda se muestran como un guion (—).</w:t>
      </w:r>
    </w:p>
    <w:p>
      <w:pPr>
        <w:spacing w:after="160" w:before="0" w:line="276"/>
      </w:pPr>
      <w:r>
        <w:rPr>
          <w:rFonts w:ascii="Arial" w:cs="Arial" w:eastAsia="Arial" w:hAnsi="Arial"/>
          <w:sz w:val="21"/>
          <w:szCs w:val="21"/>
        </w:rPr>
        <w:t xml:space="preserve">En el detalle de cada Orden de Pago se añade la columna Días (negativa si todavía no vence, positiva si ya venció) y el saldo se marca únicamente en la columna de la banda que le corresponde.</w:t>
      </w:r>
    </w:p>
    <w:p>
      <w:pPr>
        <w:spacing w:after="160" w:before="0" w:line="276"/>
      </w:pPr>
      <w:r>
        <w:rPr>
          <w:rFonts w:ascii="Arial" w:cs="Arial" w:eastAsia="Arial" w:hAnsi="Arial"/>
          <w:sz w:val="21"/>
          <w:szCs w:val="21"/>
        </w:rPr>
        <w:t xml:space="preserve">Este reporte también incluye un botón Imprimir con el mismo formato de encabezado institucional que el resto de los reportes del sistema.</w:t>
      </w:r>
    </w:p>
    <w:p>
      <w:pPr>
        <w:pStyle w:val="Heading1"/>
        <w:spacing w:after="220" w:before="0"/>
      </w:pPr>
      <w:r>
        <w:rPr>
          <w:rFonts w:ascii="Arial" w:cs="Arial" w:eastAsia="Arial" w:hAnsi="Arial"/>
          <w:b/>
          <w:bCs/>
          <w:color w:val="1E3A5F"/>
          <w:sz w:val="34"/>
          <w:szCs w:val="34"/>
        </w:rPr>
        <w:t xml:space="preserve">8. Preguntas Frecuentes y Solución de Problemas</w:t>
      </w:r>
    </w:p>
    <w:p>
      <w:pPr>
        <w:spacing w:after="60" w:before="200"/>
      </w:pPr>
      <w:r>
        <w:rPr>
          <w:rFonts w:ascii="Arial" w:cs="Arial" w:eastAsia="Arial" w:hAnsi="Arial"/>
          <w:b/>
          <w:bCs/>
          <w:color w:val="1F4D78"/>
          <w:sz w:val="21"/>
          <w:szCs w:val="21"/>
        </w:rPr>
        <w:t xml:space="preserve">¿Por qué no encuentro una Orden de Pago recién creada en Cuentas por Pagar?</w:t>
      </w:r>
    </w:p>
    <w:p>
      <w:pPr>
        <w:spacing w:after="100" w:before="0" w:line="276"/>
      </w:pPr>
      <w:r>
        <w:rPr>
          <w:rFonts w:ascii="Arial" w:cs="Arial" w:eastAsia="Arial" w:hAnsi="Arial"/>
          <w:sz w:val="21"/>
          <w:szCs w:val="21"/>
        </w:rPr>
        <w:t xml:space="preserve">Muy probablemente sigue en status "Pendiente Auth" (esperando autorización) o fue "Rechazada". Ambos casos se revisan desde el módulo de Compras, no desde Tesorería. Recuerda que solo Super Administrador, Administrador, Supervisor de Compras y Fraccionamiento pueden autorizar este tipo de documentos (capítulo 2.2).</w:t>
      </w:r>
    </w:p>
    <w:p>
      <w:pPr>
        <w:spacing w:after="60" w:before="200"/>
      </w:pPr>
      <w:r>
        <w:rPr>
          <w:rFonts w:ascii="Arial" w:cs="Arial" w:eastAsia="Arial" w:hAnsi="Arial"/>
          <w:b/>
          <w:bCs/>
          <w:color w:val="1F4D78"/>
          <w:sz w:val="21"/>
          <w:szCs w:val="21"/>
        </w:rPr>
        <w:t xml:space="preserve">¿Por qué bajó automáticamente el saldo de una cuenta bancaria?</w:t>
      </w:r>
    </w:p>
    <w:p>
      <w:pPr>
        <w:spacing w:after="100" w:before="0" w:line="276"/>
      </w:pPr>
      <w:r>
        <w:rPr>
          <w:rFonts w:ascii="Arial" w:cs="Arial" w:eastAsia="Arial" w:hAnsi="Arial"/>
          <w:sz w:val="21"/>
          <w:szCs w:val="21"/>
        </w:rPr>
        <w:t xml:space="preserve">Porque alguien registró un pago (abono) de una Orden de Pago desde Cuentas por Pagar y seleccionó esa cuenta como origen del pago. El sistema genera un movimiento de Cargo automático y descuenta el saldo de inmediato; puedes verlo en el historial de movimientos de la cuenta (sección 4.6).</w:t>
      </w:r>
    </w:p>
    <w:p>
      <w:pPr>
        <w:spacing w:after="60" w:before="200"/>
      </w:pPr>
      <w:r>
        <w:rPr>
          <w:rFonts w:ascii="Arial" w:cs="Arial" w:eastAsia="Arial" w:hAnsi="Arial"/>
          <w:b/>
          <w:bCs/>
          <w:color w:val="1F4D78"/>
          <w:sz w:val="21"/>
          <w:szCs w:val="21"/>
        </w:rPr>
        <w:t xml:space="preserve">¿Cómo registro un depósito o una transferencia que recibió la cuenta?</w:t>
      </w:r>
    </w:p>
    <w:p>
      <w:pPr>
        <w:spacing w:after="100" w:before="0" w:line="276"/>
      </w:pPr>
      <w:r>
        <w:rPr>
          <w:rFonts w:ascii="Arial" w:cs="Arial" w:eastAsia="Arial" w:hAnsi="Arial"/>
          <w:sz w:val="21"/>
          <w:szCs w:val="21"/>
        </w:rPr>
        <w:t xml:space="preserve">Desde el detalle de la cuenta bancaria (Ver), con el botón Registrar Abono (sección 4.7). Los movimientos de Cargo no se pueden capturar manualmente ahí: solo se generan desde una Orden de Pago.</w:t>
      </w:r>
    </w:p>
    <w:p>
      <w:pPr>
        <w:spacing w:after="60" w:before="200"/>
      </w:pPr>
      <w:r>
        <w:rPr>
          <w:rFonts w:ascii="Arial" w:cs="Arial" w:eastAsia="Arial" w:hAnsi="Arial"/>
          <w:b/>
          <w:bCs/>
          <w:color w:val="1F4D78"/>
          <w:sz w:val="21"/>
          <w:szCs w:val="21"/>
        </w:rPr>
        <w:t xml:space="preserve">¿Puedo hacer un pago parcial de una Orden de Pago?</w:t>
      </w:r>
    </w:p>
    <w:p>
      <w:pPr>
        <w:spacing w:after="100" w:before="0" w:line="276"/>
      </w:pPr>
      <w:r>
        <w:rPr>
          <w:rFonts w:ascii="Arial" w:cs="Arial" w:eastAsia="Arial" w:hAnsi="Arial"/>
          <w:sz w:val="21"/>
          <w:szCs w:val="21"/>
        </w:rPr>
        <w:t xml:space="preserve">Sí. En el formulario de Registrar Pago, desmarca la casilla "Pago total" y captura el monto que vas a abonar. La Orden de Pago quedará en status "Abonada" hasta que el saldo llegue a cero.</w:t>
      </w:r>
    </w:p>
    <w:p>
      <w:pPr>
        <w:spacing w:after="60" w:before="200"/>
      </w:pPr>
      <w:r>
        <w:rPr>
          <w:rFonts w:ascii="Arial" w:cs="Arial" w:eastAsia="Arial" w:hAnsi="Arial"/>
          <w:b/>
          <w:bCs/>
          <w:color w:val="1F4D78"/>
          <w:sz w:val="21"/>
          <w:szCs w:val="21"/>
        </w:rPr>
        <w:t xml:space="preserve">¿Qué pasa si registro un pago mayor al saldo disponible de la cuenta bancaria?</w:t>
      </w:r>
    </w:p>
    <w:p>
      <w:pPr>
        <w:spacing w:after="100" w:before="0" w:line="276"/>
      </w:pPr>
      <w:r>
        <w:rPr>
          <w:rFonts w:ascii="Arial" w:cs="Arial" w:eastAsia="Arial" w:hAnsi="Arial"/>
          <w:sz w:val="21"/>
          <w:szCs w:val="21"/>
        </w:rPr>
        <w:t xml:space="preserve">El sistema te muestra una advertencia de "Saldo insuficiente", pero no bloquea el registro del pago. Verifica siempre el saldo disponible antes de confirmar.</w:t>
      </w:r>
    </w:p>
    <w:p>
      <w:pPr>
        <w:spacing w:after="60" w:before="200"/>
      </w:pPr>
      <w:r>
        <w:rPr>
          <w:rFonts w:ascii="Arial" w:cs="Arial" w:eastAsia="Arial" w:hAnsi="Arial"/>
          <w:b/>
          <w:bCs/>
          <w:color w:val="1F4D78"/>
          <w:sz w:val="21"/>
          <w:szCs w:val="21"/>
        </w:rPr>
        <w:t xml:space="preserve">¿Puedo cancelar una Orden de Pago desde Tesorería?</w:t>
      </w:r>
    </w:p>
    <w:p>
      <w:pPr>
        <w:spacing w:after="100" w:before="0" w:line="276"/>
      </w:pPr>
      <w:r>
        <w:rPr>
          <w:rFonts w:ascii="Arial" w:cs="Arial" w:eastAsia="Arial" w:hAnsi="Arial"/>
          <w:sz w:val="21"/>
          <w:szCs w:val="21"/>
        </w:rPr>
        <w:t xml:space="preserve">No. La opción de cancelar una Orden de Pago solo está disponible en el módulo de Compras.</w:t>
      </w:r>
    </w:p>
    <w:p>
      <w:pPr>
        <w:spacing w:after="60" w:before="200"/>
      </w:pPr>
      <w:r>
        <w:rPr>
          <w:rFonts w:ascii="Arial" w:cs="Arial" w:eastAsia="Arial" w:hAnsi="Arial"/>
          <w:b/>
          <w:bCs/>
          <w:color w:val="1F4D78"/>
          <w:sz w:val="21"/>
          <w:szCs w:val="21"/>
        </w:rPr>
        <w:t xml:space="preserve">¿Dónde consulto la factura (PDF/XML) del proveedor de una Orden de Pago?</w:t>
      </w:r>
    </w:p>
    <w:p>
      <w:pPr>
        <w:spacing w:after="100" w:before="0" w:line="276"/>
      </w:pPr>
      <w:r>
        <w:rPr>
          <w:rFonts w:ascii="Arial" w:cs="Arial" w:eastAsia="Arial" w:hAnsi="Arial"/>
          <w:sz w:val="21"/>
          <w:szCs w:val="21"/>
        </w:rPr>
        <w:t xml:space="preserve">En el detalle de la Orden de Pago, dentro de Cuentas por Pagar, si fue adjuntada al crear el documento en Compras. Si el sistema indica que no hay documentos adjuntos, deben subirse editando la Orden de Pago desde el módulo de Compras.</w:t>
      </w:r>
    </w:p>
    <w:p>
      <w:pPr>
        <w:spacing w:after="60" w:before="200"/>
      </w:pPr>
      <w:r>
        <w:rPr>
          <w:rFonts w:ascii="Arial" w:cs="Arial" w:eastAsia="Arial" w:hAnsi="Arial"/>
          <w:b/>
          <w:bCs/>
          <w:color w:val="1F4D78"/>
          <w:sz w:val="21"/>
          <w:szCs w:val="21"/>
        </w:rPr>
        <w:t xml:space="preserve">¿Qué significa el badge de "Día de Pago" que aparece junto a algunas Órdenes de Pago?</w:t>
      </w:r>
    </w:p>
    <w:p>
      <w:pPr>
        <w:spacing w:after="100" w:before="0" w:line="276"/>
      </w:pPr>
      <w:r>
        <w:rPr>
          <w:rFonts w:ascii="Arial" w:cs="Arial" w:eastAsia="Arial" w:hAnsi="Arial"/>
          <w:sz w:val="21"/>
          <w:szCs w:val="21"/>
        </w:rPr>
        <w:t xml:space="preserve">Indica el martes de pago que le corresponde según el ciclo semanal descrito en la sección 5.3: puede mostrar "Atrasado", "Hoy — día de pago" o la fecha del próximo martes de pago programado.</w:t>
      </w:r>
    </w:p>
    <w:p>
      <w:pPr>
        <w:spacing w:after="60" w:before="200"/>
      </w:pPr>
      <w:r>
        <w:rPr>
          <w:rFonts w:ascii="Arial" w:cs="Arial" w:eastAsia="Arial" w:hAnsi="Arial"/>
          <w:b/>
          <w:bCs/>
          <w:color w:val="1F4D78"/>
          <w:sz w:val="21"/>
          <w:szCs w:val="21"/>
        </w:rPr>
        <w:t xml:space="preserve">¿El rol Admin Solo Lectura puede modificar información en Tesorería?</w:t>
      </w:r>
    </w:p>
    <w:p>
      <w:pPr>
        <w:spacing w:after="100" w:before="0" w:line="276"/>
      </w:pPr>
      <w:r>
        <w:rPr>
          <w:rFonts w:ascii="Arial" w:cs="Arial" w:eastAsia="Arial" w:hAnsi="Arial"/>
          <w:sz w:val="21"/>
          <w:szCs w:val="21"/>
        </w:rPr>
        <w:t xml:space="preserve">Sí, a diferencia de otros módulos del sistema. Como se explica en la sección 2.3, las pantallas de Tesorería no aplican una restricción adicional de solo lectura: cualquier rol que pueda ver el módulo puede también capturar movimientos.</w:t>
      </w:r>
    </w:p>
    <w:p>
      <w:pPr>
        <w:spacing w:after="60" w:before="200"/>
      </w:pPr>
      <w:r>
        <w:rPr>
          <w:rFonts w:ascii="Arial" w:cs="Arial" w:eastAsia="Arial" w:hAnsi="Arial"/>
          <w:b/>
          <w:bCs/>
          <w:color w:val="1F4D78"/>
          <w:sz w:val="21"/>
          <w:szCs w:val="21"/>
        </w:rPr>
        <w:t xml:space="preserve">¿Los reportes de Órdenes de Pago por CC/Área muestran las mismas Órdenes de Pago que Cuentas por Pagar?</w:t>
      </w:r>
    </w:p>
    <w:p>
      <w:pPr>
        <w:spacing w:after="100" w:before="0" w:line="276"/>
      </w:pPr>
      <w:r>
        <w:rPr>
          <w:rFonts w:ascii="Arial" w:cs="Arial" w:eastAsia="Arial" w:hAnsi="Arial"/>
          <w:sz w:val="21"/>
          <w:szCs w:val="21"/>
        </w:rPr>
        <w:t xml:space="preserve">No exactamente. Cuentas por Pagar solo muestra las Órdenes de Pago en status Pendiente, Abonada o Pagada. Los dos reportes del capítulo 6 y 7 son más amplios: el de CC/Área (capítulo 6) puede filtrarse por cualquiera de los cinco status, incluyendo Pendiente Auth y Rechazada; el de Antigüedad (capítulo 7) toma como universo todo lo que no esté Pagado ni Cancelado y tenga saldo mayor a cero.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Arial" w:cs="Arial" w:eastAsia="Arial" w:hAnsi="Arial"/>
        <w:color w:val="55606B"/>
        <w:sz w:val="16"/>
        <w:szCs w:val="16"/>
      </w:rPr>
      <w:t xml:space="preserve">Página </w:t>
    </w:r>
    <w:r>
      <w:rPr>
        <w:rFonts w:ascii="Arial" w:cs="Arial" w:eastAsia="Arial" w:hAnsi="Arial"/>
        <w:color w:val="55606B"/>
        <w:sz w:val="16"/>
        <w:szCs w:val="16"/>
      </w:rPr>
      <w:fldChar w:fldCharType="begin"/>
      <w:instrText xml:space="preserve">PAGE</w:instrText>
      <w:fldChar w:fldCharType="separate"/>
      <w:fldChar w:fldCharType="end"/>
    </w:r>
    <w:r>
      <w:rPr>
        <w:rFonts w:ascii="Arial" w:cs="Arial" w:eastAsia="Arial" w:hAnsi="Arial"/>
        <w:color w:val="55606B"/>
        <w:sz w:val="16"/>
        <w:szCs w:val="16"/>
      </w:rPr>
      <w:t xml:space="preserve"> de </w:t>
    </w:r>
    <w:r>
      <w:rPr>
        <w:rFonts w:ascii="Arial" w:cs="Arial" w:eastAsia="Arial" w:hAnsi="Arial"/>
        <w:color w:val="556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6"/>
      </w:pBdr>
      <w:jc w:val="right"/>
    </w:pPr>
    <w:r>
      <w:rPr>
        <w:rFonts w:ascii="Arial" w:cs="Arial" w:eastAsia="Arial" w:hAnsi="Arial"/>
        <w:i/>
        <w:iCs/>
        <w:color w:val="55606B"/>
        <w:sz w:val="16"/>
        <w:szCs w:val="16"/>
      </w:rPr>
      <w:t xml:space="preserve">DomusOne · Manual de Usuario — Tesorería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563EB"/>
      <w:sz w:val="27"/>
      <w:szCs w:val="27"/>
    </w:rPr>
  </w:style>
  <w:style w:type="paragraph" w:styleId="Heading3">
    <w:name w:val="Heading 3"/>
    <w:basedOn w:val="Normal"/>
    <w:next w:val="Normal"/>
    <w:qFormat/>
    <w:pPr>
      <w:spacing w:after="12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2026-07-22T07:58:10.195Z</dcterms:created>
  <dcterms:modified xsi:type="dcterms:W3CDTF">2026-07-22T07:58:10.195Z</dcterms:modified>
</cp:coreProperties>
</file>

<file path=docProps/custom.xml><?xml version="1.0" encoding="utf-8"?>
<Properties xmlns="http://schemas.openxmlformats.org/officeDocument/2006/custom-properties" xmlns:vt="http://schemas.openxmlformats.org/officeDocument/2006/docPropsVTypes"/>
</file>