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Arial" w:cs="Arial" w:eastAsia="Arial" w:hAnsi="Arial"/>
          <w:b/>
          <w:bCs/>
          <w:color w:val="1E3A5F"/>
          <w:sz w:val="96"/>
          <w:szCs w:val="96"/>
        </w:rPr>
        <w:t xml:space="preserve">DOMUSONE</w:t>
      </w:r>
    </w:p>
    <w:p>
      <w:pPr>
        <w:spacing w:after="60" w:before="200"/>
        <w:jc w:val="center"/>
      </w:pPr>
      <w:r>
        <w:rPr>
          <w:rFonts w:ascii="Arial" w:cs="Arial" w:eastAsia="Arial" w:hAnsi="Arial"/>
          <w:color w:val="2563EB"/>
          <w:sz w:val="40"/>
          <w:szCs w:val="40"/>
        </w:rPr>
        <w:t xml:space="preserve">Manual de Usuario</w:t>
      </w:r>
    </w:p>
    <w:p>
      <w:pPr>
        <w:spacing w:after="700" w:before="0"/>
        <w:jc w:val="center"/>
      </w:pPr>
      <w:r>
        <w:rPr>
          <w:rFonts w:ascii="Arial" w:cs="Arial" w:eastAsia="Arial" w:hAnsi="Arial"/>
          <w:b/>
          <w:bCs/>
          <w:color w:val="2563EB"/>
          <w:sz w:val="40"/>
          <w:szCs w:val="40"/>
        </w:rPr>
        <w:t xml:space="preserve">Módulo de Compras</w:t>
      </w:r>
    </w:p>
    <w:p>
      <w:pPr>
        <w:spacing w:after="900" w:before="0"/>
        <w:jc w:val="center"/>
      </w:pPr>
      <w:r>
        <w:rPr>
          <w:rFonts w:ascii="Arial" w:cs="Arial" w:eastAsia="Arial" w:hAnsi="Arial"/>
          <w:i/>
          <w:iCs/>
          <w:color w:val="475569"/>
          <w:sz w:val="20"/>
          <w:szCs w:val="20"/>
        </w:rPr>
        <w:t xml:space="preserve">Requisición · Cotización · Orden de Compra · Recepción · Inventario · Órdenes de Pago · CXP · Caja Chica · Combustible</w:t>
      </w:r>
    </w:p>
    <w:tbl>
      <w:tblPr>
        <w:tblW w:type="dxa" w:w="7200"/>
        <w:jc w:val="center"/>
        <w:tblBorders>
          <w:top w:val="single" w:color="1E3A5F" w:sz="4"/>
          <w:left w:val="single" w:color="1E3A5F" w:sz="4"/>
          <w:bottom w:val="single" w:color="1E3A5F" w:sz="4"/>
          <w:right w:val="single" w:color="1E3A5F" w:sz="4"/>
          <w:insideH w:val="single" w:color="CBD5E1" w:sz="2"/>
          <w:insideV w:val="single" w:color="CBD5E1" w:sz="2"/>
        </w:tblBorders>
      </w:tblPr>
      <w:tblGrid>
        <w:gridCol w:w="2200"/>
        <w:gridCol w:w="5000"/>
      </w:tblGrid>
      <w:tr>
        <w:tc>
          <w:tcPr>
            <w:tcW w:type="dxa" w:w="2200"/>
            <w:shd w:fill="1E3A5F" w:color="auto" w:val="clear"/>
            <w:tcMar>
              <w:top w:type="dxa" w:w="100"/>
              <w:left w:type="dxa" w:w="160"/>
              <w:bottom w:type="dxa" w:w="100"/>
              <w:right w:type="dxa" w:w="120"/>
            </w:tcMar>
            <w:vAlign w:val="center"/>
          </w:tcPr>
          <w:p>
            <w:pPr>
              <w:spacing w:after="40" w:before="40"/>
            </w:pPr>
            <w:r>
              <w:rPr>
                <w:rFonts w:ascii="Arial" w:cs="Arial" w:eastAsia="Arial" w:hAnsi="Arial"/>
                <w:b/>
                <w:bCs/>
                <w:i w:val="false"/>
                <w:iCs w:val="false"/>
                <w:color w:val="FFFFFF"/>
                <w:sz w:val="20"/>
                <w:szCs w:val="20"/>
              </w:rPr>
              <w:t xml:space="preserve">Versión</w:t>
            </w:r>
          </w:p>
        </w:tc>
        <w:tc>
          <w:tcPr>
            <w:tcW w:type="dxa" w:w="5000"/>
            <w:tcMar>
              <w:top w:type="dxa" w:w="100"/>
              <w:left w:type="dxa" w:w="160"/>
              <w:bottom w:type="dxa" w:w="100"/>
              <w:right w:type="dxa" w:w="120"/>
            </w:tcMar>
            <w:vAlign w:val="center"/>
          </w:tcPr>
          <w:p>
            <w:pPr>
              <w:spacing w:after="40" w:before="40"/>
            </w:pPr>
            <w:r>
              <w:rPr>
                <w:rFonts w:ascii="Arial" w:cs="Arial" w:eastAsia="Arial" w:hAnsi="Arial"/>
                <w:b w:val="false"/>
                <w:bCs w:val="false"/>
                <w:i w:val="false"/>
                <w:iCs w:val="false"/>
                <w:color w:val="1E293B"/>
                <w:sz w:val="20"/>
                <w:szCs w:val="20"/>
              </w:rPr>
              <w:t xml:space="preserve">1.0</w:t>
            </w:r>
          </w:p>
        </w:tc>
      </w:tr>
      <w:tr>
        <w:tc>
          <w:tcPr>
            <w:tcW w:type="dxa" w:w="2200"/>
            <w:shd w:fill="1E3A5F" w:color="auto" w:val="clear"/>
            <w:tcMar>
              <w:top w:type="dxa" w:w="100"/>
              <w:left w:type="dxa" w:w="160"/>
              <w:bottom w:type="dxa" w:w="100"/>
              <w:right w:type="dxa" w:w="120"/>
            </w:tcMar>
            <w:vAlign w:val="center"/>
          </w:tcPr>
          <w:p>
            <w:pPr>
              <w:spacing w:after="40" w:before="40"/>
            </w:pPr>
            <w:r>
              <w:rPr>
                <w:rFonts w:ascii="Arial" w:cs="Arial" w:eastAsia="Arial" w:hAnsi="Arial"/>
                <w:b/>
                <w:bCs/>
                <w:i w:val="false"/>
                <w:iCs w:val="false"/>
                <w:color w:val="FFFFFF"/>
                <w:sz w:val="20"/>
                <w:szCs w:val="20"/>
              </w:rPr>
              <w:t xml:space="preserve">Audiencia</w:t>
            </w:r>
          </w:p>
        </w:tc>
        <w:tc>
          <w:tcPr>
            <w:tcW w:type="dxa" w:w="5000"/>
            <w:tcMar>
              <w:top w:type="dxa" w:w="100"/>
              <w:left w:type="dxa" w:w="160"/>
              <w:bottom w:type="dxa" w:w="100"/>
              <w:right w:type="dxa" w:w="120"/>
            </w:tcMar>
            <w:vAlign w:val="center"/>
          </w:tcPr>
          <w:p>
            <w:pPr>
              <w:spacing w:after="40" w:before="40"/>
            </w:pPr>
            <w:r>
              <w:rPr>
                <w:rFonts w:ascii="Arial" w:cs="Arial" w:eastAsia="Arial" w:hAnsi="Arial"/>
                <w:b w:val="false"/>
                <w:bCs w:val="false"/>
                <w:i w:val="false"/>
                <w:iCs w:val="false"/>
                <w:color w:val="1E293B"/>
                <w:sz w:val="20"/>
                <w:szCs w:val="20"/>
              </w:rPr>
              <w:t xml:space="preserve">Personal de Compras, Almacén, Solicitantes y Administración</w:t>
            </w:r>
          </w:p>
        </w:tc>
      </w:tr>
      <w:tr>
        <w:tc>
          <w:tcPr>
            <w:tcW w:type="dxa" w:w="2200"/>
            <w:shd w:fill="1E3A5F" w:color="auto" w:val="clear"/>
            <w:tcMar>
              <w:top w:type="dxa" w:w="100"/>
              <w:left w:type="dxa" w:w="160"/>
              <w:bottom w:type="dxa" w:w="100"/>
              <w:right w:type="dxa" w:w="120"/>
            </w:tcMar>
            <w:vAlign w:val="center"/>
          </w:tcPr>
          <w:p>
            <w:pPr>
              <w:spacing w:after="40" w:before="40"/>
            </w:pPr>
            <w:r>
              <w:rPr>
                <w:rFonts w:ascii="Arial" w:cs="Arial" w:eastAsia="Arial" w:hAnsi="Arial"/>
                <w:b/>
                <w:bCs/>
                <w:i w:val="false"/>
                <w:iCs w:val="false"/>
                <w:color w:val="FFFFFF"/>
                <w:sz w:val="20"/>
                <w:szCs w:val="20"/>
              </w:rPr>
              <w:t xml:space="preserve">Fecha</w:t>
            </w:r>
          </w:p>
        </w:tc>
        <w:tc>
          <w:tcPr>
            <w:tcW w:type="dxa" w:w="5000"/>
            <w:tcMar>
              <w:top w:type="dxa" w:w="100"/>
              <w:left w:type="dxa" w:w="160"/>
              <w:bottom w:type="dxa" w:w="100"/>
              <w:right w:type="dxa" w:w="120"/>
            </w:tcMar>
            <w:vAlign w:val="center"/>
          </w:tcPr>
          <w:p>
            <w:pPr>
              <w:spacing w:after="40" w:before="40"/>
            </w:pPr>
            <w:r>
              <w:rPr>
                <w:rFonts w:ascii="Arial" w:cs="Arial" w:eastAsia="Arial" w:hAnsi="Arial"/>
                <w:b w:val="false"/>
                <w:bCs w:val="false"/>
                <w:i w:val="false"/>
                <w:iCs w:val="false"/>
                <w:color w:val="1E293B"/>
                <w:sz w:val="20"/>
                <w:szCs w:val="20"/>
              </w:rPr>
              <w:t xml:space="preserve">22 de julio de 2026</w:t>
            </w:r>
          </w:p>
        </w:tc>
      </w:tr>
    </w:tbl>
    <w:p>
      <w:r>
        <w:br w:type="page"/>
      </w:r>
    </w:p>
    <w:p>
      <w:pPr>
        <w:spacing w:after="300" w:before="0"/>
      </w:pPr>
      <w:r>
        <w:rPr>
          <w:rFonts w:ascii="Arial" w:cs="Arial" w:eastAsia="Arial" w:hAnsi="Arial"/>
          <w:b/>
          <w:bCs/>
          <w:color w:val="1E3A5F"/>
          <w:sz w:val="44"/>
          <w:szCs w:val="44"/>
        </w:rPr>
        <w:t xml:space="preserve">Índice</w:t>
      </w:r>
    </w:p>
    <w:p>
      <w:pPr>
        <w:tabs>
          <w:tab w:val="right" w:pos="9360" w:leader="dot"/>
        </w:tabs>
        <w:spacing w:after="140" w:before="160"/>
        <w:ind w:left="0"/>
      </w:pPr>
      <w:r>
        <w:rPr>
          <w:rFonts w:ascii="Arial" w:cs="Arial" w:eastAsia="Arial" w:hAnsi="Arial"/>
          <w:b/>
          <w:bCs/>
          <w:color w:val="1E3A5F"/>
          <w:sz w:val="22"/>
          <w:szCs w:val="22"/>
        </w:rPr>
        <w:t xml:space="preserve">1. Introducción al Módulo de Compras</w:t>
      </w:r>
      <w:r>
        <w:rPr>
          <w:rFonts w:ascii="Arial" w:cs="Arial" w:eastAsia="Arial" w:hAnsi="Arial"/>
          <w:sz w:val="20"/>
          <w:szCs w:val="20"/>
        </w:rPr>
        <w:t xml:space="preserve">	</w:t>
      </w:r>
      <w:r>
        <w:rPr>
          <w:rFonts w:ascii="Arial" w:cs="Arial" w:eastAsia="Arial" w:hAnsi="Arial"/>
          <w:color w:val="475569"/>
          <w:sz w:val="20"/>
          <w:szCs w:val="20"/>
        </w:rPr>
        <w:t xml:space="preserve">5</w:t>
      </w:r>
    </w:p>
    <w:p>
      <w:pPr>
        <w:tabs>
          <w:tab w:val="right" w:pos="9360" w:leader="dot"/>
        </w:tabs>
        <w:spacing w:after="80" w:before="0"/>
        <w:ind w:left="340"/>
      </w:pPr>
      <w:r>
        <w:rPr>
          <w:rFonts w:ascii="Arial" w:cs="Arial" w:eastAsia="Arial" w:hAnsi="Arial"/>
          <w:b w:val="false"/>
          <w:bCs w:val="false"/>
          <w:color w:val="1E293B"/>
          <w:sz w:val="20"/>
          <w:szCs w:val="20"/>
        </w:rPr>
        <w:t xml:space="preserve">1.1 Qué es el módulo de Compras</w:t>
      </w:r>
      <w:r>
        <w:rPr>
          <w:rFonts w:ascii="Arial" w:cs="Arial" w:eastAsia="Arial" w:hAnsi="Arial"/>
          <w:sz w:val="20"/>
          <w:szCs w:val="20"/>
        </w:rPr>
        <w:t xml:space="preserve">	</w:t>
      </w:r>
      <w:r>
        <w:rPr>
          <w:rFonts w:ascii="Arial" w:cs="Arial" w:eastAsia="Arial" w:hAnsi="Arial"/>
          <w:color w:val="475569"/>
          <w:sz w:val="20"/>
          <w:szCs w:val="20"/>
        </w:rPr>
        <w:t xml:space="preserve">5</w:t>
      </w:r>
    </w:p>
    <w:p>
      <w:pPr>
        <w:tabs>
          <w:tab w:val="right" w:pos="9360" w:leader="dot"/>
        </w:tabs>
        <w:spacing w:after="80" w:before="0"/>
        <w:ind w:left="340"/>
      </w:pPr>
      <w:r>
        <w:rPr>
          <w:rFonts w:ascii="Arial" w:cs="Arial" w:eastAsia="Arial" w:hAnsi="Arial"/>
          <w:b w:val="false"/>
          <w:bCs w:val="false"/>
          <w:color w:val="1E293B"/>
          <w:sz w:val="20"/>
          <w:szCs w:val="20"/>
        </w:rPr>
        <w:t xml:space="preserve">1.2 El flujo Procure-to-Pay (P2P)</w:t>
      </w:r>
      <w:r>
        <w:rPr>
          <w:rFonts w:ascii="Arial" w:cs="Arial" w:eastAsia="Arial" w:hAnsi="Arial"/>
          <w:sz w:val="20"/>
          <w:szCs w:val="20"/>
        </w:rPr>
        <w:t xml:space="preserve">	</w:t>
      </w:r>
      <w:r>
        <w:rPr>
          <w:rFonts w:ascii="Arial" w:cs="Arial" w:eastAsia="Arial" w:hAnsi="Arial"/>
          <w:color w:val="475569"/>
          <w:sz w:val="20"/>
          <w:szCs w:val="20"/>
        </w:rPr>
        <w:t xml:space="preserve">5</w:t>
      </w:r>
    </w:p>
    <w:p>
      <w:pPr>
        <w:tabs>
          <w:tab w:val="right" w:pos="9360" w:leader="dot"/>
        </w:tabs>
        <w:spacing w:after="80" w:before="0"/>
        <w:ind w:left="340"/>
      </w:pPr>
      <w:r>
        <w:rPr>
          <w:rFonts w:ascii="Arial" w:cs="Arial" w:eastAsia="Arial" w:hAnsi="Arial"/>
          <w:b w:val="false"/>
          <w:bCs w:val="false"/>
          <w:color w:val="1E293B"/>
          <w:sz w:val="20"/>
          <w:szCs w:val="20"/>
        </w:rPr>
        <w:t xml:space="preserve">1.3 Procesos que corren en paralelo</w:t>
      </w:r>
      <w:r>
        <w:rPr>
          <w:rFonts w:ascii="Arial" w:cs="Arial" w:eastAsia="Arial" w:hAnsi="Arial"/>
          <w:sz w:val="20"/>
          <w:szCs w:val="20"/>
        </w:rPr>
        <w:t xml:space="preserve">	</w:t>
      </w:r>
      <w:r>
        <w:rPr>
          <w:rFonts w:ascii="Arial" w:cs="Arial" w:eastAsia="Arial" w:hAnsi="Arial"/>
          <w:color w:val="475569"/>
          <w:sz w:val="20"/>
          <w:szCs w:val="20"/>
        </w:rPr>
        <w:t xml:space="preserve">5</w:t>
      </w:r>
    </w:p>
    <w:p>
      <w:pPr>
        <w:tabs>
          <w:tab w:val="right" w:pos="9360" w:leader="dot"/>
        </w:tabs>
        <w:spacing w:after="80" w:before="0"/>
        <w:ind w:left="340"/>
      </w:pPr>
      <w:r>
        <w:rPr>
          <w:rFonts w:ascii="Arial" w:cs="Arial" w:eastAsia="Arial" w:hAnsi="Arial"/>
          <w:b w:val="false"/>
          <w:bCs w:val="false"/>
          <w:color w:val="1E293B"/>
          <w:sz w:val="20"/>
          <w:szCs w:val="20"/>
        </w:rPr>
        <w:t xml:space="preserve">1.4 La portada del módulo</w:t>
      </w:r>
      <w:r>
        <w:rPr>
          <w:rFonts w:ascii="Arial" w:cs="Arial" w:eastAsia="Arial" w:hAnsi="Arial"/>
          <w:sz w:val="20"/>
          <w:szCs w:val="20"/>
        </w:rPr>
        <w:t xml:space="preserve">	</w:t>
      </w:r>
      <w:r>
        <w:rPr>
          <w:rFonts w:ascii="Arial" w:cs="Arial" w:eastAsia="Arial" w:hAnsi="Arial"/>
          <w:color w:val="475569"/>
          <w:sz w:val="20"/>
          <w:szCs w:val="20"/>
        </w:rPr>
        <w:t xml:space="preserve">6</w:t>
      </w:r>
    </w:p>
    <w:p>
      <w:pPr>
        <w:tabs>
          <w:tab w:val="right" w:pos="9360" w:leader="dot"/>
        </w:tabs>
        <w:spacing w:after="140" w:before="160"/>
        <w:ind w:left="0"/>
      </w:pPr>
      <w:r>
        <w:rPr>
          <w:rFonts w:ascii="Arial" w:cs="Arial" w:eastAsia="Arial" w:hAnsi="Arial"/>
          <w:b/>
          <w:bCs/>
          <w:color w:val="1E3A5F"/>
          <w:sz w:val="22"/>
          <w:szCs w:val="22"/>
        </w:rPr>
        <w:t xml:space="preserve">2. Roles y Permisos de Acceso</w:t>
      </w:r>
      <w:r>
        <w:rPr>
          <w:rFonts w:ascii="Arial" w:cs="Arial" w:eastAsia="Arial" w:hAnsi="Arial"/>
          <w:sz w:val="20"/>
          <w:szCs w:val="20"/>
        </w:rPr>
        <w:t xml:space="preserve">	</w:t>
      </w:r>
      <w:r>
        <w:rPr>
          <w:rFonts w:ascii="Arial" w:cs="Arial" w:eastAsia="Arial" w:hAnsi="Arial"/>
          <w:color w:val="475569"/>
          <w:sz w:val="20"/>
          <w:szCs w:val="20"/>
        </w:rPr>
        <w:t xml:space="preserve">7</w:t>
      </w:r>
    </w:p>
    <w:p>
      <w:pPr>
        <w:tabs>
          <w:tab w:val="right" w:pos="9360" w:leader="dot"/>
        </w:tabs>
        <w:spacing w:after="80" w:before="0"/>
        <w:ind w:left="340"/>
      </w:pPr>
      <w:r>
        <w:rPr>
          <w:rFonts w:ascii="Arial" w:cs="Arial" w:eastAsia="Arial" w:hAnsi="Arial"/>
          <w:b w:val="false"/>
          <w:bCs w:val="false"/>
          <w:color w:val="1E293B"/>
          <w:sz w:val="20"/>
          <w:szCs w:val="20"/>
        </w:rPr>
        <w:t xml:space="preserve">2.1 Qué controla cada tipo de permiso</w:t>
      </w:r>
      <w:r>
        <w:rPr>
          <w:rFonts w:ascii="Arial" w:cs="Arial" w:eastAsia="Arial" w:hAnsi="Arial"/>
          <w:sz w:val="20"/>
          <w:szCs w:val="20"/>
        </w:rPr>
        <w:t xml:space="preserve">	</w:t>
      </w:r>
      <w:r>
        <w:rPr>
          <w:rFonts w:ascii="Arial" w:cs="Arial" w:eastAsia="Arial" w:hAnsi="Arial"/>
          <w:color w:val="475569"/>
          <w:sz w:val="20"/>
          <w:szCs w:val="20"/>
        </w:rPr>
        <w:t xml:space="preserve">7</w:t>
      </w:r>
    </w:p>
    <w:p>
      <w:pPr>
        <w:tabs>
          <w:tab w:val="right" w:pos="9360" w:leader="dot"/>
        </w:tabs>
        <w:spacing w:after="80" w:before="0"/>
        <w:ind w:left="340"/>
      </w:pPr>
      <w:r>
        <w:rPr>
          <w:rFonts w:ascii="Arial" w:cs="Arial" w:eastAsia="Arial" w:hAnsi="Arial"/>
          <w:b w:val="false"/>
          <w:bCs w:val="false"/>
          <w:color w:val="1E293B"/>
          <w:sz w:val="20"/>
          <w:szCs w:val="20"/>
        </w:rPr>
        <w:t xml:space="preserve">2.2 Qué ve cada rol en la portada de Compras</w:t>
      </w:r>
      <w:r>
        <w:rPr>
          <w:rFonts w:ascii="Arial" w:cs="Arial" w:eastAsia="Arial" w:hAnsi="Arial"/>
          <w:sz w:val="20"/>
          <w:szCs w:val="20"/>
        </w:rPr>
        <w:t xml:space="preserve">	</w:t>
      </w:r>
      <w:r>
        <w:rPr>
          <w:rFonts w:ascii="Arial" w:cs="Arial" w:eastAsia="Arial" w:hAnsi="Arial"/>
          <w:color w:val="475569"/>
          <w:sz w:val="20"/>
          <w:szCs w:val="20"/>
        </w:rPr>
        <w:t xml:space="preserve">7</w:t>
      </w:r>
    </w:p>
    <w:p>
      <w:pPr>
        <w:tabs>
          <w:tab w:val="right" w:pos="9360" w:leader="dot"/>
        </w:tabs>
        <w:spacing w:after="80" w:before="0"/>
        <w:ind w:left="340"/>
      </w:pPr>
      <w:r>
        <w:rPr>
          <w:rFonts w:ascii="Arial" w:cs="Arial" w:eastAsia="Arial" w:hAnsi="Arial"/>
          <w:b w:val="false"/>
          <w:bCs w:val="false"/>
          <w:color w:val="1E293B"/>
          <w:sz w:val="20"/>
          <w:szCs w:val="20"/>
        </w:rPr>
        <w:t xml:space="preserve">2.3 Quién autoriza y quién elimina</w:t>
      </w:r>
      <w:r>
        <w:rPr>
          <w:rFonts w:ascii="Arial" w:cs="Arial" w:eastAsia="Arial" w:hAnsi="Arial"/>
          <w:sz w:val="20"/>
          <w:szCs w:val="20"/>
        </w:rPr>
        <w:t xml:space="preserve">	</w:t>
      </w:r>
      <w:r>
        <w:rPr>
          <w:rFonts w:ascii="Arial" w:cs="Arial" w:eastAsia="Arial" w:hAnsi="Arial"/>
          <w:color w:val="475569"/>
          <w:sz w:val="20"/>
          <w:szCs w:val="20"/>
        </w:rPr>
        <w:t xml:space="preserve">8</w:t>
      </w:r>
    </w:p>
    <w:p>
      <w:pPr>
        <w:tabs>
          <w:tab w:val="right" w:pos="9360" w:leader="dot"/>
        </w:tabs>
        <w:spacing w:after="80" w:before="0"/>
        <w:ind w:left="340"/>
      </w:pPr>
      <w:r>
        <w:rPr>
          <w:rFonts w:ascii="Arial" w:cs="Arial" w:eastAsia="Arial" w:hAnsi="Arial"/>
          <w:b w:val="false"/>
          <w:bCs w:val="false"/>
          <w:color w:val="1E293B"/>
          <w:sz w:val="20"/>
          <w:szCs w:val="20"/>
        </w:rPr>
        <w:t xml:space="preserve">2.4 Restricciones adicionales configurables</w:t>
      </w:r>
      <w:r>
        <w:rPr>
          <w:rFonts w:ascii="Arial" w:cs="Arial" w:eastAsia="Arial" w:hAnsi="Arial"/>
          <w:sz w:val="20"/>
          <w:szCs w:val="20"/>
        </w:rPr>
        <w:t xml:space="preserve">	</w:t>
      </w:r>
      <w:r>
        <w:rPr>
          <w:rFonts w:ascii="Arial" w:cs="Arial" w:eastAsia="Arial" w:hAnsi="Arial"/>
          <w:color w:val="475569"/>
          <w:sz w:val="20"/>
          <w:szCs w:val="20"/>
        </w:rPr>
        <w:t xml:space="preserve">8</w:t>
      </w:r>
    </w:p>
    <w:p>
      <w:pPr>
        <w:tabs>
          <w:tab w:val="right" w:pos="9360" w:leader="dot"/>
        </w:tabs>
        <w:spacing w:after="140" w:before="160"/>
        <w:ind w:left="0"/>
      </w:pPr>
      <w:r>
        <w:rPr>
          <w:rFonts w:ascii="Arial" w:cs="Arial" w:eastAsia="Arial" w:hAnsi="Arial"/>
          <w:b/>
          <w:bCs/>
          <w:color w:val="1E3A5F"/>
          <w:sz w:val="22"/>
          <w:szCs w:val="22"/>
        </w:rPr>
        <w:t xml:space="preserve">3. Requisiciones</w:t>
      </w:r>
      <w:r>
        <w:rPr>
          <w:rFonts w:ascii="Arial" w:cs="Arial" w:eastAsia="Arial" w:hAnsi="Arial"/>
          <w:sz w:val="20"/>
          <w:szCs w:val="20"/>
        </w:rPr>
        <w:t xml:space="preserve">	</w:t>
      </w:r>
      <w:r>
        <w:rPr>
          <w:rFonts w:ascii="Arial" w:cs="Arial" w:eastAsia="Arial" w:hAnsi="Arial"/>
          <w:color w:val="475569"/>
          <w:sz w:val="20"/>
          <w:szCs w:val="20"/>
        </w:rPr>
        <w:t xml:space="preserve">10</w:t>
      </w:r>
    </w:p>
    <w:p>
      <w:pPr>
        <w:tabs>
          <w:tab w:val="right" w:pos="9360" w:leader="dot"/>
        </w:tabs>
        <w:spacing w:after="80" w:before="0"/>
        <w:ind w:left="340"/>
      </w:pPr>
      <w:r>
        <w:rPr>
          <w:rFonts w:ascii="Arial" w:cs="Arial" w:eastAsia="Arial" w:hAnsi="Arial"/>
          <w:b w:val="false"/>
          <w:bCs w:val="false"/>
          <w:color w:val="1E293B"/>
          <w:sz w:val="20"/>
          <w:szCs w:val="20"/>
        </w:rPr>
        <w:t xml:space="preserve">3.1 Estatus de una Requisición</w:t>
      </w:r>
      <w:r>
        <w:rPr>
          <w:rFonts w:ascii="Arial" w:cs="Arial" w:eastAsia="Arial" w:hAnsi="Arial"/>
          <w:sz w:val="20"/>
          <w:szCs w:val="20"/>
        </w:rPr>
        <w:t xml:space="preserve">	</w:t>
      </w:r>
      <w:r>
        <w:rPr>
          <w:rFonts w:ascii="Arial" w:cs="Arial" w:eastAsia="Arial" w:hAnsi="Arial"/>
          <w:color w:val="475569"/>
          <w:sz w:val="20"/>
          <w:szCs w:val="20"/>
        </w:rPr>
        <w:t xml:space="preserve">10</w:t>
      </w:r>
    </w:p>
    <w:p>
      <w:pPr>
        <w:tabs>
          <w:tab w:val="right" w:pos="9360" w:leader="dot"/>
        </w:tabs>
        <w:spacing w:after="80" w:before="0"/>
        <w:ind w:left="340"/>
      </w:pPr>
      <w:r>
        <w:rPr>
          <w:rFonts w:ascii="Arial" w:cs="Arial" w:eastAsia="Arial" w:hAnsi="Arial"/>
          <w:b w:val="false"/>
          <w:bCs w:val="false"/>
          <w:color w:val="1E293B"/>
          <w:sz w:val="20"/>
          <w:szCs w:val="20"/>
        </w:rPr>
        <w:t xml:space="preserve">3.2 Crear una requisición</w:t>
      </w:r>
      <w:r>
        <w:rPr>
          <w:rFonts w:ascii="Arial" w:cs="Arial" w:eastAsia="Arial" w:hAnsi="Arial"/>
          <w:sz w:val="20"/>
          <w:szCs w:val="20"/>
        </w:rPr>
        <w:t xml:space="preserve">	</w:t>
      </w:r>
      <w:r>
        <w:rPr>
          <w:rFonts w:ascii="Arial" w:cs="Arial" w:eastAsia="Arial" w:hAnsi="Arial"/>
          <w:color w:val="475569"/>
          <w:sz w:val="20"/>
          <w:szCs w:val="20"/>
        </w:rPr>
        <w:t xml:space="preserve">10</w:t>
      </w:r>
    </w:p>
    <w:p>
      <w:pPr>
        <w:tabs>
          <w:tab w:val="right" w:pos="9360" w:leader="dot"/>
        </w:tabs>
        <w:spacing w:after="80" w:before="0"/>
        <w:ind w:left="340"/>
      </w:pPr>
      <w:r>
        <w:rPr>
          <w:rFonts w:ascii="Arial" w:cs="Arial" w:eastAsia="Arial" w:hAnsi="Arial"/>
          <w:b w:val="false"/>
          <w:bCs w:val="false"/>
          <w:color w:val="1E293B"/>
          <w:sz w:val="20"/>
          <w:szCs w:val="20"/>
        </w:rPr>
        <w:t xml:space="preserve">3.3 Autorizar o rechazar una requisición</w:t>
      </w:r>
      <w:r>
        <w:rPr>
          <w:rFonts w:ascii="Arial" w:cs="Arial" w:eastAsia="Arial" w:hAnsi="Arial"/>
          <w:sz w:val="20"/>
          <w:szCs w:val="20"/>
        </w:rPr>
        <w:t xml:space="preserve">	</w:t>
      </w:r>
      <w:r>
        <w:rPr>
          <w:rFonts w:ascii="Arial" w:cs="Arial" w:eastAsia="Arial" w:hAnsi="Arial"/>
          <w:color w:val="475569"/>
          <w:sz w:val="20"/>
          <w:szCs w:val="20"/>
        </w:rPr>
        <w:t xml:space="preserve">11</w:t>
      </w:r>
    </w:p>
    <w:p>
      <w:pPr>
        <w:tabs>
          <w:tab w:val="right" w:pos="9360" w:leader="dot"/>
        </w:tabs>
        <w:spacing w:after="80" w:before="0"/>
        <w:ind w:left="340"/>
      </w:pPr>
      <w:r>
        <w:rPr>
          <w:rFonts w:ascii="Arial" w:cs="Arial" w:eastAsia="Arial" w:hAnsi="Arial"/>
          <w:b w:val="false"/>
          <w:bCs w:val="false"/>
          <w:color w:val="1E293B"/>
          <w:sz w:val="20"/>
          <w:szCs w:val="20"/>
        </w:rPr>
        <w:t xml:space="preserve">3.4 Imprimir una requisición</w:t>
      </w:r>
      <w:r>
        <w:rPr>
          <w:rFonts w:ascii="Arial" w:cs="Arial" w:eastAsia="Arial" w:hAnsi="Arial"/>
          <w:sz w:val="20"/>
          <w:szCs w:val="20"/>
        </w:rPr>
        <w:t xml:space="preserve">	</w:t>
      </w:r>
      <w:r>
        <w:rPr>
          <w:rFonts w:ascii="Arial" w:cs="Arial" w:eastAsia="Arial" w:hAnsi="Arial"/>
          <w:color w:val="475569"/>
          <w:sz w:val="20"/>
          <w:szCs w:val="20"/>
        </w:rPr>
        <w:t xml:space="preserve">11</w:t>
      </w:r>
    </w:p>
    <w:p>
      <w:pPr>
        <w:tabs>
          <w:tab w:val="right" w:pos="9360" w:leader="dot"/>
        </w:tabs>
        <w:spacing w:after="80" w:before="0"/>
        <w:ind w:left="340"/>
      </w:pPr>
      <w:r>
        <w:rPr>
          <w:rFonts w:ascii="Arial" w:cs="Arial" w:eastAsia="Arial" w:hAnsi="Arial"/>
          <w:b w:val="false"/>
          <w:bCs w:val="false"/>
          <w:color w:val="1E293B"/>
          <w:sz w:val="20"/>
          <w:szCs w:val="20"/>
        </w:rPr>
        <w:t xml:space="preserve">3.5 Filtros disponibles en la lista</w:t>
      </w:r>
      <w:r>
        <w:rPr>
          <w:rFonts w:ascii="Arial" w:cs="Arial" w:eastAsia="Arial" w:hAnsi="Arial"/>
          <w:sz w:val="20"/>
          <w:szCs w:val="20"/>
        </w:rPr>
        <w:t xml:space="preserve">	</w:t>
      </w:r>
      <w:r>
        <w:rPr>
          <w:rFonts w:ascii="Arial" w:cs="Arial" w:eastAsia="Arial" w:hAnsi="Arial"/>
          <w:color w:val="475569"/>
          <w:sz w:val="20"/>
          <w:szCs w:val="20"/>
        </w:rPr>
        <w:t xml:space="preserve">11</w:t>
      </w:r>
    </w:p>
    <w:p>
      <w:pPr>
        <w:tabs>
          <w:tab w:val="right" w:pos="9360" w:leader="dot"/>
        </w:tabs>
        <w:spacing w:after="140" w:before="160"/>
        <w:ind w:left="0"/>
      </w:pPr>
      <w:r>
        <w:rPr>
          <w:rFonts w:ascii="Arial" w:cs="Arial" w:eastAsia="Arial" w:hAnsi="Arial"/>
          <w:b/>
          <w:bCs/>
          <w:color w:val="1E3A5F"/>
          <w:sz w:val="22"/>
          <w:szCs w:val="22"/>
        </w:rPr>
        <w:t xml:space="preserve">4. Cotizaciones (RFQ)</w:t>
      </w:r>
      <w:r>
        <w:rPr>
          <w:rFonts w:ascii="Arial" w:cs="Arial" w:eastAsia="Arial" w:hAnsi="Arial"/>
          <w:sz w:val="20"/>
          <w:szCs w:val="20"/>
        </w:rPr>
        <w:t xml:space="preserve">	</w:t>
      </w:r>
      <w:r>
        <w:rPr>
          <w:rFonts w:ascii="Arial" w:cs="Arial" w:eastAsia="Arial" w:hAnsi="Arial"/>
          <w:color w:val="475569"/>
          <w:sz w:val="20"/>
          <w:szCs w:val="20"/>
        </w:rPr>
        <w:t xml:space="preserve">12</w:t>
      </w:r>
    </w:p>
    <w:p>
      <w:pPr>
        <w:tabs>
          <w:tab w:val="right" w:pos="9360" w:leader="dot"/>
        </w:tabs>
        <w:spacing w:after="80" w:before="0"/>
        <w:ind w:left="340"/>
      </w:pPr>
      <w:r>
        <w:rPr>
          <w:rFonts w:ascii="Arial" w:cs="Arial" w:eastAsia="Arial" w:hAnsi="Arial"/>
          <w:b w:val="false"/>
          <w:bCs w:val="false"/>
          <w:color w:val="1E293B"/>
          <w:sz w:val="20"/>
          <w:szCs w:val="20"/>
        </w:rPr>
        <w:t xml:space="preserve">4.1 Crear una solicitud de cotización</w:t>
      </w:r>
      <w:r>
        <w:rPr>
          <w:rFonts w:ascii="Arial" w:cs="Arial" w:eastAsia="Arial" w:hAnsi="Arial"/>
          <w:sz w:val="20"/>
          <w:szCs w:val="20"/>
        </w:rPr>
        <w:t xml:space="preserve">	</w:t>
      </w:r>
      <w:r>
        <w:rPr>
          <w:rFonts w:ascii="Arial" w:cs="Arial" w:eastAsia="Arial" w:hAnsi="Arial"/>
          <w:color w:val="475569"/>
          <w:sz w:val="20"/>
          <w:szCs w:val="20"/>
        </w:rPr>
        <w:t xml:space="preserve">12</w:t>
      </w:r>
    </w:p>
    <w:p>
      <w:pPr>
        <w:tabs>
          <w:tab w:val="right" w:pos="9360" w:leader="dot"/>
        </w:tabs>
        <w:spacing w:after="80" w:before="0"/>
        <w:ind w:left="340"/>
      </w:pPr>
      <w:r>
        <w:rPr>
          <w:rFonts w:ascii="Arial" w:cs="Arial" w:eastAsia="Arial" w:hAnsi="Arial"/>
          <w:b w:val="false"/>
          <w:bCs w:val="false"/>
          <w:color w:val="1E293B"/>
          <w:sz w:val="20"/>
          <w:szCs w:val="20"/>
        </w:rPr>
        <w:t xml:space="preserve">4.2 Registrar la cotización de un proveedor</w:t>
      </w:r>
      <w:r>
        <w:rPr>
          <w:rFonts w:ascii="Arial" w:cs="Arial" w:eastAsia="Arial" w:hAnsi="Arial"/>
          <w:sz w:val="20"/>
          <w:szCs w:val="20"/>
        </w:rPr>
        <w:t xml:space="preserve">	</w:t>
      </w:r>
      <w:r>
        <w:rPr>
          <w:rFonts w:ascii="Arial" w:cs="Arial" w:eastAsia="Arial" w:hAnsi="Arial"/>
          <w:color w:val="475569"/>
          <w:sz w:val="20"/>
          <w:szCs w:val="20"/>
        </w:rPr>
        <w:t xml:space="preserve">12</w:t>
      </w:r>
    </w:p>
    <w:p>
      <w:pPr>
        <w:tabs>
          <w:tab w:val="right" w:pos="9360" w:leader="dot"/>
        </w:tabs>
        <w:spacing w:after="80" w:before="0"/>
        <w:ind w:left="340"/>
      </w:pPr>
      <w:r>
        <w:rPr>
          <w:rFonts w:ascii="Arial" w:cs="Arial" w:eastAsia="Arial" w:hAnsi="Arial"/>
          <w:b w:val="false"/>
          <w:bCs w:val="false"/>
          <w:color w:val="1E293B"/>
          <w:sz w:val="20"/>
          <w:szCs w:val="20"/>
        </w:rPr>
        <w:t xml:space="preserve">4.3 Elegir al proveedor ganador</w:t>
      </w:r>
      <w:r>
        <w:rPr>
          <w:rFonts w:ascii="Arial" w:cs="Arial" w:eastAsia="Arial" w:hAnsi="Arial"/>
          <w:sz w:val="20"/>
          <w:szCs w:val="20"/>
        </w:rPr>
        <w:t xml:space="preserve">	</w:t>
      </w:r>
      <w:r>
        <w:rPr>
          <w:rFonts w:ascii="Arial" w:cs="Arial" w:eastAsia="Arial" w:hAnsi="Arial"/>
          <w:color w:val="475569"/>
          <w:sz w:val="20"/>
          <w:szCs w:val="20"/>
        </w:rPr>
        <w:t xml:space="preserve">12</w:t>
      </w:r>
    </w:p>
    <w:p>
      <w:pPr>
        <w:tabs>
          <w:tab w:val="right" w:pos="9360" w:leader="dot"/>
        </w:tabs>
        <w:spacing w:after="80" w:before="0"/>
        <w:ind w:left="340"/>
      </w:pPr>
      <w:r>
        <w:rPr>
          <w:rFonts w:ascii="Arial" w:cs="Arial" w:eastAsia="Arial" w:hAnsi="Arial"/>
          <w:b w:val="false"/>
          <w:bCs w:val="false"/>
          <w:color w:val="1E293B"/>
          <w:sz w:val="20"/>
          <w:szCs w:val="20"/>
        </w:rPr>
        <w:t xml:space="preserve">4.4 Cerrar la RFQ</w:t>
      </w:r>
      <w:r>
        <w:rPr>
          <w:rFonts w:ascii="Arial" w:cs="Arial" w:eastAsia="Arial" w:hAnsi="Arial"/>
          <w:sz w:val="20"/>
          <w:szCs w:val="20"/>
        </w:rPr>
        <w:t xml:space="preserve">	</w:t>
      </w:r>
      <w:r>
        <w:rPr>
          <w:rFonts w:ascii="Arial" w:cs="Arial" w:eastAsia="Arial" w:hAnsi="Arial"/>
          <w:color w:val="475569"/>
          <w:sz w:val="20"/>
          <w:szCs w:val="20"/>
        </w:rPr>
        <w:t xml:space="preserve">13</w:t>
      </w:r>
    </w:p>
    <w:p>
      <w:pPr>
        <w:tabs>
          <w:tab w:val="right" w:pos="9360" w:leader="dot"/>
        </w:tabs>
        <w:spacing w:after="140" w:before="160"/>
        <w:ind w:left="0"/>
      </w:pPr>
      <w:r>
        <w:rPr>
          <w:rFonts w:ascii="Arial" w:cs="Arial" w:eastAsia="Arial" w:hAnsi="Arial"/>
          <w:b/>
          <w:bCs/>
          <w:color w:val="1E3A5F"/>
          <w:sz w:val="22"/>
          <w:szCs w:val="22"/>
        </w:rPr>
        <w:t xml:space="preserve">5. Órdenes de Compra</w:t>
      </w:r>
      <w:r>
        <w:rPr>
          <w:rFonts w:ascii="Arial" w:cs="Arial" w:eastAsia="Arial" w:hAnsi="Arial"/>
          <w:sz w:val="20"/>
          <w:szCs w:val="20"/>
        </w:rPr>
        <w:t xml:space="preserve">	</w:t>
      </w:r>
      <w:r>
        <w:rPr>
          <w:rFonts w:ascii="Arial" w:cs="Arial" w:eastAsia="Arial" w:hAnsi="Arial"/>
          <w:color w:val="475569"/>
          <w:sz w:val="20"/>
          <w:szCs w:val="20"/>
        </w:rPr>
        <w:t xml:space="preserve">14</w:t>
      </w:r>
    </w:p>
    <w:p>
      <w:pPr>
        <w:tabs>
          <w:tab w:val="right" w:pos="9360" w:leader="dot"/>
        </w:tabs>
        <w:spacing w:after="80" w:before="0"/>
        <w:ind w:left="340"/>
      </w:pPr>
      <w:r>
        <w:rPr>
          <w:rFonts w:ascii="Arial" w:cs="Arial" w:eastAsia="Arial" w:hAnsi="Arial"/>
          <w:b w:val="false"/>
          <w:bCs w:val="false"/>
          <w:color w:val="1E293B"/>
          <w:sz w:val="20"/>
          <w:szCs w:val="20"/>
        </w:rPr>
        <w:t xml:space="preserve">5.1 Estatus de una Orden de Compra</w:t>
      </w:r>
      <w:r>
        <w:rPr>
          <w:rFonts w:ascii="Arial" w:cs="Arial" w:eastAsia="Arial" w:hAnsi="Arial"/>
          <w:sz w:val="20"/>
          <w:szCs w:val="20"/>
        </w:rPr>
        <w:t xml:space="preserve">	</w:t>
      </w:r>
      <w:r>
        <w:rPr>
          <w:rFonts w:ascii="Arial" w:cs="Arial" w:eastAsia="Arial" w:hAnsi="Arial"/>
          <w:color w:val="475569"/>
          <w:sz w:val="20"/>
          <w:szCs w:val="20"/>
        </w:rPr>
        <w:t xml:space="preserve">14</w:t>
      </w:r>
    </w:p>
    <w:p>
      <w:pPr>
        <w:tabs>
          <w:tab w:val="right" w:pos="9360" w:leader="dot"/>
        </w:tabs>
        <w:spacing w:after="80" w:before="0"/>
        <w:ind w:left="340"/>
      </w:pPr>
      <w:r>
        <w:rPr>
          <w:rFonts w:ascii="Arial" w:cs="Arial" w:eastAsia="Arial" w:hAnsi="Arial"/>
          <w:b w:val="false"/>
          <w:bCs w:val="false"/>
          <w:color w:val="1E293B"/>
          <w:sz w:val="20"/>
          <w:szCs w:val="20"/>
        </w:rPr>
        <w:t xml:space="preserve">5.2 Generar una OC desde una RFQ</w:t>
      </w:r>
      <w:r>
        <w:rPr>
          <w:rFonts w:ascii="Arial" w:cs="Arial" w:eastAsia="Arial" w:hAnsi="Arial"/>
          <w:sz w:val="20"/>
          <w:szCs w:val="20"/>
        </w:rPr>
        <w:t xml:space="preserve">	</w:t>
      </w:r>
      <w:r>
        <w:rPr>
          <w:rFonts w:ascii="Arial" w:cs="Arial" w:eastAsia="Arial" w:hAnsi="Arial"/>
          <w:color w:val="475569"/>
          <w:sz w:val="20"/>
          <w:szCs w:val="20"/>
        </w:rPr>
        <w:t xml:space="preserve">14</w:t>
      </w:r>
    </w:p>
    <w:p>
      <w:pPr>
        <w:tabs>
          <w:tab w:val="right" w:pos="9360" w:leader="dot"/>
        </w:tabs>
        <w:spacing w:after="80" w:before="0"/>
        <w:ind w:left="340"/>
      </w:pPr>
      <w:r>
        <w:rPr>
          <w:rFonts w:ascii="Arial" w:cs="Arial" w:eastAsia="Arial" w:hAnsi="Arial"/>
          <w:b w:val="false"/>
          <w:bCs w:val="false"/>
          <w:color w:val="1E293B"/>
          <w:sz w:val="20"/>
          <w:szCs w:val="20"/>
        </w:rPr>
        <w:t xml:space="preserve">5.3 Generar una OC directa (sin RFQ)</w:t>
      </w:r>
      <w:r>
        <w:rPr>
          <w:rFonts w:ascii="Arial" w:cs="Arial" w:eastAsia="Arial" w:hAnsi="Arial"/>
          <w:sz w:val="20"/>
          <w:szCs w:val="20"/>
        </w:rPr>
        <w:t xml:space="preserve">	</w:t>
      </w:r>
      <w:r>
        <w:rPr>
          <w:rFonts w:ascii="Arial" w:cs="Arial" w:eastAsia="Arial" w:hAnsi="Arial"/>
          <w:color w:val="475569"/>
          <w:sz w:val="20"/>
          <w:szCs w:val="20"/>
        </w:rPr>
        <w:t xml:space="preserve">14</w:t>
      </w:r>
    </w:p>
    <w:p>
      <w:pPr>
        <w:tabs>
          <w:tab w:val="right" w:pos="9360" w:leader="dot"/>
        </w:tabs>
        <w:spacing w:after="80" w:before="0"/>
        <w:ind w:left="340"/>
      </w:pPr>
      <w:r>
        <w:rPr>
          <w:rFonts w:ascii="Arial" w:cs="Arial" w:eastAsia="Arial" w:hAnsi="Arial"/>
          <w:b w:val="false"/>
          <w:bCs w:val="false"/>
          <w:color w:val="1E293B"/>
          <w:sz w:val="20"/>
          <w:szCs w:val="20"/>
        </w:rPr>
        <w:t xml:space="preserve">5.4 Autorizar una OC</w:t>
      </w:r>
      <w:r>
        <w:rPr>
          <w:rFonts w:ascii="Arial" w:cs="Arial" w:eastAsia="Arial" w:hAnsi="Arial"/>
          <w:sz w:val="20"/>
          <w:szCs w:val="20"/>
        </w:rPr>
        <w:t xml:space="preserve">	</w:t>
      </w:r>
      <w:r>
        <w:rPr>
          <w:rFonts w:ascii="Arial" w:cs="Arial" w:eastAsia="Arial" w:hAnsi="Arial"/>
          <w:color w:val="475569"/>
          <w:sz w:val="20"/>
          <w:szCs w:val="20"/>
        </w:rPr>
        <w:t xml:space="preserve">15</w:t>
      </w:r>
    </w:p>
    <w:p>
      <w:pPr>
        <w:tabs>
          <w:tab w:val="right" w:pos="9360" w:leader="dot"/>
        </w:tabs>
        <w:spacing w:after="80" w:before="0"/>
        <w:ind w:left="340"/>
      </w:pPr>
      <w:r>
        <w:rPr>
          <w:rFonts w:ascii="Arial" w:cs="Arial" w:eastAsia="Arial" w:hAnsi="Arial"/>
          <w:b w:val="false"/>
          <w:bCs w:val="false"/>
          <w:color w:val="1E293B"/>
          <w:sz w:val="20"/>
          <w:szCs w:val="20"/>
        </w:rPr>
        <w:t xml:space="preserve">5.5 Generar la Orden de Pago desde la OC</w:t>
      </w:r>
      <w:r>
        <w:rPr>
          <w:rFonts w:ascii="Arial" w:cs="Arial" w:eastAsia="Arial" w:hAnsi="Arial"/>
          <w:sz w:val="20"/>
          <w:szCs w:val="20"/>
        </w:rPr>
        <w:t xml:space="preserve">	</w:t>
      </w:r>
      <w:r>
        <w:rPr>
          <w:rFonts w:ascii="Arial" w:cs="Arial" w:eastAsia="Arial" w:hAnsi="Arial"/>
          <w:color w:val="475569"/>
          <w:sz w:val="20"/>
          <w:szCs w:val="20"/>
        </w:rPr>
        <w:t xml:space="preserve">15</w:t>
      </w:r>
    </w:p>
    <w:p>
      <w:pPr>
        <w:tabs>
          <w:tab w:val="right" w:pos="9360" w:leader="dot"/>
        </w:tabs>
        <w:spacing w:after="80" w:before="0"/>
        <w:ind w:left="340"/>
      </w:pPr>
      <w:r>
        <w:rPr>
          <w:rFonts w:ascii="Arial" w:cs="Arial" w:eastAsia="Arial" w:hAnsi="Arial"/>
          <w:b w:val="false"/>
          <w:bCs w:val="false"/>
          <w:color w:val="1E293B"/>
          <w:sz w:val="20"/>
          <w:szCs w:val="20"/>
        </w:rPr>
        <w:t xml:space="preserve">5.6 Imprimir la Orden de Compra</w:t>
      </w:r>
      <w:r>
        <w:rPr>
          <w:rFonts w:ascii="Arial" w:cs="Arial" w:eastAsia="Arial" w:hAnsi="Arial"/>
          <w:sz w:val="20"/>
          <w:szCs w:val="20"/>
        </w:rPr>
        <w:t xml:space="preserve">	</w:t>
      </w:r>
      <w:r>
        <w:rPr>
          <w:rFonts w:ascii="Arial" w:cs="Arial" w:eastAsia="Arial" w:hAnsi="Arial"/>
          <w:color w:val="475569"/>
          <w:sz w:val="20"/>
          <w:szCs w:val="20"/>
        </w:rPr>
        <w:t xml:space="preserve">15</w:t>
      </w:r>
    </w:p>
    <w:p>
      <w:pPr>
        <w:tabs>
          <w:tab w:val="right" w:pos="9360" w:leader="dot"/>
        </w:tabs>
        <w:spacing w:after="140" w:before="160"/>
        <w:ind w:left="0"/>
      </w:pPr>
      <w:r>
        <w:rPr>
          <w:rFonts w:ascii="Arial" w:cs="Arial" w:eastAsia="Arial" w:hAnsi="Arial"/>
          <w:b/>
          <w:bCs/>
          <w:color w:val="1E3A5F"/>
          <w:sz w:val="22"/>
          <w:szCs w:val="22"/>
        </w:rPr>
        <w:t xml:space="preserve">6. Recepción de Mercancías</w:t>
      </w:r>
      <w:r>
        <w:rPr>
          <w:rFonts w:ascii="Arial" w:cs="Arial" w:eastAsia="Arial" w:hAnsi="Arial"/>
          <w:sz w:val="20"/>
          <w:szCs w:val="20"/>
        </w:rPr>
        <w:t xml:space="preserve">	</w:t>
      </w:r>
      <w:r>
        <w:rPr>
          <w:rFonts w:ascii="Arial" w:cs="Arial" w:eastAsia="Arial" w:hAnsi="Arial"/>
          <w:color w:val="475569"/>
          <w:sz w:val="20"/>
          <w:szCs w:val="20"/>
        </w:rPr>
        <w:t xml:space="preserve">16</w:t>
      </w:r>
    </w:p>
    <w:p>
      <w:pPr>
        <w:tabs>
          <w:tab w:val="right" w:pos="9360" w:leader="dot"/>
        </w:tabs>
        <w:spacing w:after="80" w:before="0"/>
        <w:ind w:left="340"/>
      </w:pPr>
      <w:r>
        <w:rPr>
          <w:rFonts w:ascii="Arial" w:cs="Arial" w:eastAsia="Arial" w:hAnsi="Arial"/>
          <w:b w:val="false"/>
          <w:bCs w:val="false"/>
          <w:color w:val="1E293B"/>
          <w:sz w:val="20"/>
          <w:szCs w:val="20"/>
        </w:rPr>
        <w:t xml:space="preserve">6.1 Registrar una recepción</w:t>
      </w:r>
      <w:r>
        <w:rPr>
          <w:rFonts w:ascii="Arial" w:cs="Arial" w:eastAsia="Arial" w:hAnsi="Arial"/>
          <w:sz w:val="20"/>
          <w:szCs w:val="20"/>
        </w:rPr>
        <w:t xml:space="preserve">	</w:t>
      </w:r>
      <w:r>
        <w:rPr>
          <w:rFonts w:ascii="Arial" w:cs="Arial" w:eastAsia="Arial" w:hAnsi="Arial"/>
          <w:color w:val="475569"/>
          <w:sz w:val="20"/>
          <w:szCs w:val="20"/>
        </w:rPr>
        <w:t xml:space="preserve">16</w:t>
      </w:r>
    </w:p>
    <w:p>
      <w:pPr>
        <w:tabs>
          <w:tab w:val="right" w:pos="9360" w:leader="dot"/>
        </w:tabs>
        <w:spacing w:after="80" w:before="0"/>
        <w:ind w:left="340"/>
      </w:pPr>
      <w:r>
        <w:rPr>
          <w:rFonts w:ascii="Arial" w:cs="Arial" w:eastAsia="Arial" w:hAnsi="Arial"/>
          <w:b w:val="false"/>
          <w:bCs w:val="false"/>
          <w:color w:val="1E293B"/>
          <w:sz w:val="20"/>
          <w:szCs w:val="20"/>
        </w:rPr>
        <w:t xml:space="preserve">6.2 Quién puede registrar una recepción</w:t>
      </w:r>
      <w:r>
        <w:rPr>
          <w:rFonts w:ascii="Arial" w:cs="Arial" w:eastAsia="Arial" w:hAnsi="Arial"/>
          <w:sz w:val="20"/>
          <w:szCs w:val="20"/>
        </w:rPr>
        <w:t xml:space="preserve">	</w:t>
      </w:r>
      <w:r>
        <w:rPr>
          <w:rFonts w:ascii="Arial" w:cs="Arial" w:eastAsia="Arial" w:hAnsi="Arial"/>
          <w:color w:val="475569"/>
          <w:sz w:val="20"/>
          <w:szCs w:val="20"/>
        </w:rPr>
        <w:t xml:space="preserve">16</w:t>
      </w:r>
    </w:p>
    <w:p>
      <w:pPr>
        <w:tabs>
          <w:tab w:val="right" w:pos="9360" w:leader="dot"/>
        </w:tabs>
        <w:spacing w:after="80" w:before="0"/>
        <w:ind w:left="340"/>
      </w:pPr>
      <w:r>
        <w:rPr>
          <w:rFonts w:ascii="Arial" w:cs="Arial" w:eastAsia="Arial" w:hAnsi="Arial"/>
          <w:b w:val="false"/>
          <w:bCs w:val="false"/>
          <w:color w:val="1E293B"/>
          <w:sz w:val="20"/>
          <w:szCs w:val="20"/>
        </w:rPr>
        <w:t xml:space="preserve">6.3 Efecto en el inventario</w:t>
      </w:r>
      <w:r>
        <w:rPr>
          <w:rFonts w:ascii="Arial" w:cs="Arial" w:eastAsia="Arial" w:hAnsi="Arial"/>
          <w:sz w:val="20"/>
          <w:szCs w:val="20"/>
        </w:rPr>
        <w:t xml:space="preserve">	</w:t>
      </w:r>
      <w:r>
        <w:rPr>
          <w:rFonts w:ascii="Arial" w:cs="Arial" w:eastAsia="Arial" w:hAnsi="Arial"/>
          <w:color w:val="475569"/>
          <w:sz w:val="20"/>
          <w:szCs w:val="20"/>
        </w:rPr>
        <w:t xml:space="preserve">16</w:t>
      </w:r>
    </w:p>
    <w:p>
      <w:pPr>
        <w:tabs>
          <w:tab w:val="right" w:pos="9360" w:leader="dot"/>
        </w:tabs>
        <w:spacing w:after="140" w:before="160"/>
        <w:ind w:left="0"/>
      </w:pPr>
      <w:r>
        <w:rPr>
          <w:rFonts w:ascii="Arial" w:cs="Arial" w:eastAsia="Arial" w:hAnsi="Arial"/>
          <w:b/>
          <w:bCs/>
          <w:color w:val="1E3A5F"/>
          <w:sz w:val="22"/>
          <w:szCs w:val="22"/>
        </w:rPr>
        <w:t xml:space="preserve">7. Inventario</w:t>
      </w:r>
      <w:r>
        <w:rPr>
          <w:rFonts w:ascii="Arial" w:cs="Arial" w:eastAsia="Arial" w:hAnsi="Arial"/>
          <w:sz w:val="20"/>
          <w:szCs w:val="20"/>
        </w:rPr>
        <w:t xml:space="preserve">	</w:t>
      </w:r>
      <w:r>
        <w:rPr>
          <w:rFonts w:ascii="Arial" w:cs="Arial" w:eastAsia="Arial" w:hAnsi="Arial"/>
          <w:color w:val="475569"/>
          <w:sz w:val="20"/>
          <w:szCs w:val="20"/>
        </w:rPr>
        <w:t xml:space="preserve">18</w:t>
      </w:r>
    </w:p>
    <w:p>
      <w:pPr>
        <w:tabs>
          <w:tab w:val="right" w:pos="9360" w:leader="dot"/>
        </w:tabs>
        <w:spacing w:after="80" w:before="0"/>
        <w:ind w:left="340"/>
      </w:pPr>
      <w:r>
        <w:rPr>
          <w:rFonts w:ascii="Arial" w:cs="Arial" w:eastAsia="Arial" w:hAnsi="Arial"/>
          <w:b w:val="false"/>
          <w:bCs w:val="false"/>
          <w:color w:val="1E293B"/>
          <w:sz w:val="20"/>
          <w:szCs w:val="20"/>
        </w:rPr>
        <w:t xml:space="preserve">7.1 Consultar existencias</w:t>
      </w:r>
      <w:r>
        <w:rPr>
          <w:rFonts w:ascii="Arial" w:cs="Arial" w:eastAsia="Arial" w:hAnsi="Arial"/>
          <w:sz w:val="20"/>
          <w:szCs w:val="20"/>
        </w:rPr>
        <w:t xml:space="preserve">	</w:t>
      </w:r>
      <w:r>
        <w:rPr>
          <w:rFonts w:ascii="Arial" w:cs="Arial" w:eastAsia="Arial" w:hAnsi="Arial"/>
          <w:color w:val="475569"/>
          <w:sz w:val="20"/>
          <w:szCs w:val="20"/>
        </w:rPr>
        <w:t xml:space="preserve">18</w:t>
      </w:r>
    </w:p>
    <w:p>
      <w:pPr>
        <w:tabs>
          <w:tab w:val="right" w:pos="9360" w:leader="dot"/>
        </w:tabs>
        <w:spacing w:after="80" w:before="0"/>
        <w:ind w:left="340"/>
      </w:pPr>
      <w:r>
        <w:rPr>
          <w:rFonts w:ascii="Arial" w:cs="Arial" w:eastAsia="Arial" w:hAnsi="Arial"/>
          <w:b w:val="false"/>
          <w:bCs w:val="false"/>
          <w:color w:val="1E293B"/>
          <w:sz w:val="20"/>
          <w:szCs w:val="20"/>
        </w:rPr>
        <w:t xml:space="preserve">7.2 Consultar el kardex de un artículo</w:t>
      </w:r>
      <w:r>
        <w:rPr>
          <w:rFonts w:ascii="Arial" w:cs="Arial" w:eastAsia="Arial" w:hAnsi="Arial"/>
          <w:sz w:val="20"/>
          <w:szCs w:val="20"/>
        </w:rPr>
        <w:t xml:space="preserve">	</w:t>
      </w:r>
      <w:r>
        <w:rPr>
          <w:rFonts w:ascii="Arial" w:cs="Arial" w:eastAsia="Arial" w:hAnsi="Arial"/>
          <w:color w:val="475569"/>
          <w:sz w:val="20"/>
          <w:szCs w:val="20"/>
        </w:rPr>
        <w:t xml:space="preserve">18</w:t>
      </w:r>
    </w:p>
    <w:p>
      <w:pPr>
        <w:tabs>
          <w:tab w:val="right" w:pos="9360" w:leader="dot"/>
        </w:tabs>
        <w:spacing w:after="80" w:before="0"/>
        <w:ind w:left="340"/>
      </w:pPr>
      <w:r>
        <w:rPr>
          <w:rFonts w:ascii="Arial" w:cs="Arial" w:eastAsia="Arial" w:hAnsi="Arial"/>
          <w:b w:val="false"/>
          <w:bCs w:val="false"/>
          <w:color w:val="1E293B"/>
          <w:sz w:val="20"/>
          <w:szCs w:val="20"/>
        </w:rPr>
        <w:t xml:space="preserve">7.3 Registrar un movimiento manual</w:t>
      </w:r>
      <w:r>
        <w:rPr>
          <w:rFonts w:ascii="Arial" w:cs="Arial" w:eastAsia="Arial" w:hAnsi="Arial"/>
          <w:sz w:val="20"/>
          <w:szCs w:val="20"/>
        </w:rPr>
        <w:t xml:space="preserve">	</w:t>
      </w:r>
      <w:r>
        <w:rPr>
          <w:rFonts w:ascii="Arial" w:cs="Arial" w:eastAsia="Arial" w:hAnsi="Arial"/>
          <w:color w:val="475569"/>
          <w:sz w:val="20"/>
          <w:szCs w:val="20"/>
        </w:rPr>
        <w:t xml:space="preserve">18</w:t>
      </w:r>
    </w:p>
    <w:p>
      <w:pPr>
        <w:tabs>
          <w:tab w:val="right" w:pos="9360" w:leader="dot"/>
        </w:tabs>
        <w:spacing w:after="140" w:before="160"/>
        <w:ind w:left="0"/>
      </w:pPr>
      <w:r>
        <w:rPr>
          <w:rFonts w:ascii="Arial" w:cs="Arial" w:eastAsia="Arial" w:hAnsi="Arial"/>
          <w:b/>
          <w:bCs/>
          <w:color w:val="1E3A5F"/>
          <w:sz w:val="22"/>
          <w:szCs w:val="22"/>
        </w:rPr>
        <w:t xml:space="preserve">8. Transferencias entre Almacenes</w:t>
      </w:r>
      <w:r>
        <w:rPr>
          <w:rFonts w:ascii="Arial" w:cs="Arial" w:eastAsia="Arial" w:hAnsi="Arial"/>
          <w:sz w:val="20"/>
          <w:szCs w:val="20"/>
        </w:rPr>
        <w:t xml:space="preserve">	</w:t>
      </w:r>
      <w:r>
        <w:rPr>
          <w:rFonts w:ascii="Arial" w:cs="Arial" w:eastAsia="Arial" w:hAnsi="Arial"/>
          <w:color w:val="475569"/>
          <w:sz w:val="20"/>
          <w:szCs w:val="20"/>
        </w:rPr>
        <w:t xml:space="preserve">19</w:t>
      </w:r>
    </w:p>
    <w:p>
      <w:pPr>
        <w:tabs>
          <w:tab w:val="right" w:pos="9360" w:leader="dot"/>
        </w:tabs>
        <w:spacing w:after="80" w:before="0"/>
        <w:ind w:left="340"/>
      </w:pPr>
      <w:r>
        <w:rPr>
          <w:rFonts w:ascii="Arial" w:cs="Arial" w:eastAsia="Arial" w:hAnsi="Arial"/>
          <w:b w:val="false"/>
          <w:bCs w:val="false"/>
          <w:color w:val="1E293B"/>
          <w:sz w:val="20"/>
          <w:szCs w:val="20"/>
        </w:rPr>
        <w:t xml:space="preserve">8.1 Los cuatro pasos del proceso</w:t>
      </w:r>
      <w:r>
        <w:rPr>
          <w:rFonts w:ascii="Arial" w:cs="Arial" w:eastAsia="Arial" w:hAnsi="Arial"/>
          <w:sz w:val="20"/>
          <w:szCs w:val="20"/>
        </w:rPr>
        <w:t xml:space="preserve">	</w:t>
      </w:r>
      <w:r>
        <w:rPr>
          <w:rFonts w:ascii="Arial" w:cs="Arial" w:eastAsia="Arial" w:hAnsi="Arial"/>
          <w:color w:val="475569"/>
          <w:sz w:val="20"/>
          <w:szCs w:val="20"/>
        </w:rPr>
        <w:t xml:space="preserve">19</w:t>
      </w:r>
    </w:p>
    <w:p>
      <w:pPr>
        <w:tabs>
          <w:tab w:val="right" w:pos="9360" w:leader="dot"/>
        </w:tabs>
        <w:spacing w:after="80" w:before="0"/>
        <w:ind w:left="340"/>
      </w:pPr>
      <w:r>
        <w:rPr>
          <w:rFonts w:ascii="Arial" w:cs="Arial" w:eastAsia="Arial" w:hAnsi="Arial"/>
          <w:b w:val="false"/>
          <w:bCs w:val="false"/>
          <w:color w:val="1E293B"/>
          <w:sz w:val="20"/>
          <w:szCs w:val="20"/>
        </w:rPr>
        <w:t xml:space="preserve">8.2 Solicitar una transferencia</w:t>
      </w:r>
      <w:r>
        <w:rPr>
          <w:rFonts w:ascii="Arial" w:cs="Arial" w:eastAsia="Arial" w:hAnsi="Arial"/>
          <w:sz w:val="20"/>
          <w:szCs w:val="20"/>
        </w:rPr>
        <w:t xml:space="preserve">	</w:t>
      </w:r>
      <w:r>
        <w:rPr>
          <w:rFonts w:ascii="Arial" w:cs="Arial" w:eastAsia="Arial" w:hAnsi="Arial"/>
          <w:color w:val="475569"/>
          <w:sz w:val="20"/>
          <w:szCs w:val="20"/>
        </w:rPr>
        <w:t xml:space="preserve">19</w:t>
      </w:r>
    </w:p>
    <w:p>
      <w:pPr>
        <w:tabs>
          <w:tab w:val="right" w:pos="9360" w:leader="dot"/>
        </w:tabs>
        <w:spacing w:after="80" w:before="0"/>
        <w:ind w:left="340"/>
      </w:pPr>
      <w:r>
        <w:rPr>
          <w:rFonts w:ascii="Arial" w:cs="Arial" w:eastAsia="Arial" w:hAnsi="Arial"/>
          <w:b w:val="false"/>
          <w:bCs w:val="false"/>
          <w:color w:val="1E293B"/>
          <w:sz w:val="20"/>
          <w:szCs w:val="20"/>
        </w:rPr>
        <w:t xml:space="preserve">8.3 Autorizar, despachar y recibir</w:t>
      </w:r>
      <w:r>
        <w:rPr>
          <w:rFonts w:ascii="Arial" w:cs="Arial" w:eastAsia="Arial" w:hAnsi="Arial"/>
          <w:sz w:val="20"/>
          <w:szCs w:val="20"/>
        </w:rPr>
        <w:t xml:space="preserve">	</w:t>
      </w:r>
      <w:r>
        <w:rPr>
          <w:rFonts w:ascii="Arial" w:cs="Arial" w:eastAsia="Arial" w:hAnsi="Arial"/>
          <w:color w:val="475569"/>
          <w:sz w:val="20"/>
          <w:szCs w:val="20"/>
        </w:rPr>
        <w:t xml:space="preserve">19</w:t>
      </w:r>
    </w:p>
    <w:p>
      <w:pPr>
        <w:tabs>
          <w:tab w:val="right" w:pos="9360" w:leader="dot"/>
        </w:tabs>
        <w:spacing w:after="140" w:before="160"/>
        <w:ind w:left="0"/>
      </w:pPr>
      <w:r>
        <w:rPr>
          <w:rFonts w:ascii="Arial" w:cs="Arial" w:eastAsia="Arial" w:hAnsi="Arial"/>
          <w:b/>
          <w:bCs/>
          <w:color w:val="1E3A5F"/>
          <w:sz w:val="22"/>
          <w:szCs w:val="22"/>
        </w:rPr>
        <w:t xml:space="preserve">9. Proveedores</w:t>
      </w:r>
      <w:r>
        <w:rPr>
          <w:rFonts w:ascii="Arial" w:cs="Arial" w:eastAsia="Arial" w:hAnsi="Arial"/>
          <w:sz w:val="20"/>
          <w:szCs w:val="20"/>
        </w:rPr>
        <w:t xml:space="preserve">	</w:t>
      </w:r>
      <w:r>
        <w:rPr>
          <w:rFonts w:ascii="Arial" w:cs="Arial" w:eastAsia="Arial" w:hAnsi="Arial"/>
          <w:color w:val="475569"/>
          <w:sz w:val="20"/>
          <w:szCs w:val="20"/>
        </w:rPr>
        <w:t xml:space="preserve">21</w:t>
      </w:r>
    </w:p>
    <w:p>
      <w:pPr>
        <w:tabs>
          <w:tab w:val="right" w:pos="9360" w:leader="dot"/>
        </w:tabs>
        <w:spacing w:after="80" w:before="0"/>
        <w:ind w:left="340"/>
      </w:pPr>
      <w:r>
        <w:rPr>
          <w:rFonts w:ascii="Arial" w:cs="Arial" w:eastAsia="Arial" w:hAnsi="Arial"/>
          <w:b w:val="false"/>
          <w:bCs w:val="false"/>
          <w:color w:val="1E293B"/>
          <w:sz w:val="20"/>
          <w:szCs w:val="20"/>
        </w:rPr>
        <w:t xml:space="preserve">9.1 Alta de un proveedor</w:t>
      </w:r>
      <w:r>
        <w:rPr>
          <w:rFonts w:ascii="Arial" w:cs="Arial" w:eastAsia="Arial" w:hAnsi="Arial"/>
          <w:sz w:val="20"/>
          <w:szCs w:val="20"/>
        </w:rPr>
        <w:t xml:space="preserve">	</w:t>
      </w:r>
      <w:r>
        <w:rPr>
          <w:rFonts w:ascii="Arial" w:cs="Arial" w:eastAsia="Arial" w:hAnsi="Arial"/>
          <w:color w:val="475569"/>
          <w:sz w:val="20"/>
          <w:szCs w:val="20"/>
        </w:rPr>
        <w:t xml:space="preserve">21</w:t>
      </w:r>
    </w:p>
    <w:p>
      <w:pPr>
        <w:tabs>
          <w:tab w:val="right" w:pos="9360" w:leader="dot"/>
        </w:tabs>
        <w:spacing w:after="80" w:before="0"/>
        <w:ind w:left="340"/>
      </w:pPr>
      <w:r>
        <w:rPr>
          <w:rFonts w:ascii="Arial" w:cs="Arial" w:eastAsia="Arial" w:hAnsi="Arial"/>
          <w:b w:val="false"/>
          <w:bCs w:val="false"/>
          <w:color w:val="1E293B"/>
          <w:sz w:val="20"/>
          <w:szCs w:val="20"/>
        </w:rPr>
        <w:t xml:space="preserve">9.2 Documentos fiscales</w:t>
      </w:r>
      <w:r>
        <w:rPr>
          <w:rFonts w:ascii="Arial" w:cs="Arial" w:eastAsia="Arial" w:hAnsi="Arial"/>
          <w:sz w:val="20"/>
          <w:szCs w:val="20"/>
        </w:rPr>
        <w:t xml:space="preserve">	</w:t>
      </w:r>
      <w:r>
        <w:rPr>
          <w:rFonts w:ascii="Arial" w:cs="Arial" w:eastAsia="Arial" w:hAnsi="Arial"/>
          <w:color w:val="475569"/>
          <w:sz w:val="20"/>
          <w:szCs w:val="20"/>
        </w:rPr>
        <w:t xml:space="preserve">21</w:t>
      </w:r>
    </w:p>
    <w:p>
      <w:pPr>
        <w:tabs>
          <w:tab w:val="right" w:pos="9360" w:leader="dot"/>
        </w:tabs>
        <w:spacing w:after="140" w:before="160"/>
        <w:ind w:left="0"/>
      </w:pPr>
      <w:r>
        <w:rPr>
          <w:rFonts w:ascii="Arial" w:cs="Arial" w:eastAsia="Arial" w:hAnsi="Arial"/>
          <w:b/>
          <w:bCs/>
          <w:color w:val="1E3A5F"/>
          <w:sz w:val="22"/>
          <w:szCs w:val="22"/>
        </w:rPr>
        <w:t xml:space="preserve">10. Artículos</w:t>
      </w:r>
      <w:r>
        <w:rPr>
          <w:rFonts w:ascii="Arial" w:cs="Arial" w:eastAsia="Arial" w:hAnsi="Arial"/>
          <w:sz w:val="20"/>
          <w:szCs w:val="20"/>
        </w:rPr>
        <w:t xml:space="preserve">	</w:t>
      </w:r>
      <w:r>
        <w:rPr>
          <w:rFonts w:ascii="Arial" w:cs="Arial" w:eastAsia="Arial" w:hAnsi="Arial"/>
          <w:color w:val="475569"/>
          <w:sz w:val="20"/>
          <w:szCs w:val="20"/>
        </w:rPr>
        <w:t xml:space="preserve">22</w:t>
      </w:r>
    </w:p>
    <w:p>
      <w:pPr>
        <w:tabs>
          <w:tab w:val="right" w:pos="9360" w:leader="dot"/>
        </w:tabs>
        <w:spacing w:after="80" w:before="0"/>
        <w:ind w:left="340"/>
      </w:pPr>
      <w:r>
        <w:rPr>
          <w:rFonts w:ascii="Arial" w:cs="Arial" w:eastAsia="Arial" w:hAnsi="Arial"/>
          <w:b w:val="false"/>
          <w:bCs w:val="false"/>
          <w:color w:val="1E293B"/>
          <w:sz w:val="20"/>
          <w:szCs w:val="20"/>
        </w:rPr>
        <w:t xml:space="preserve">10.1 Catálogo de artículos</w:t>
      </w:r>
      <w:r>
        <w:rPr>
          <w:rFonts w:ascii="Arial" w:cs="Arial" w:eastAsia="Arial" w:hAnsi="Arial"/>
          <w:sz w:val="20"/>
          <w:szCs w:val="20"/>
        </w:rPr>
        <w:t xml:space="preserve">	</w:t>
      </w:r>
      <w:r>
        <w:rPr>
          <w:rFonts w:ascii="Arial" w:cs="Arial" w:eastAsia="Arial" w:hAnsi="Arial"/>
          <w:color w:val="475569"/>
          <w:sz w:val="20"/>
          <w:szCs w:val="20"/>
        </w:rPr>
        <w:t xml:space="preserve">22</w:t>
      </w:r>
    </w:p>
    <w:p>
      <w:pPr>
        <w:tabs>
          <w:tab w:val="right" w:pos="9360" w:leader="dot"/>
        </w:tabs>
        <w:spacing w:after="80" w:before="0"/>
        <w:ind w:left="340"/>
      </w:pPr>
      <w:r>
        <w:rPr>
          <w:rFonts w:ascii="Arial" w:cs="Arial" w:eastAsia="Arial" w:hAnsi="Arial"/>
          <w:b w:val="false"/>
          <w:bCs w:val="false"/>
          <w:color w:val="1E293B"/>
          <w:sz w:val="20"/>
          <w:szCs w:val="20"/>
        </w:rPr>
        <w:t xml:space="preserve">10.2 Alertas de stock mínimo</w:t>
      </w:r>
      <w:r>
        <w:rPr>
          <w:rFonts w:ascii="Arial" w:cs="Arial" w:eastAsia="Arial" w:hAnsi="Arial"/>
          <w:sz w:val="20"/>
          <w:szCs w:val="20"/>
        </w:rPr>
        <w:t xml:space="preserve">	</w:t>
      </w:r>
      <w:r>
        <w:rPr>
          <w:rFonts w:ascii="Arial" w:cs="Arial" w:eastAsia="Arial" w:hAnsi="Arial"/>
          <w:color w:val="475569"/>
          <w:sz w:val="20"/>
          <w:szCs w:val="20"/>
        </w:rPr>
        <w:t xml:space="preserve">22</w:t>
      </w:r>
    </w:p>
    <w:p>
      <w:pPr>
        <w:tabs>
          <w:tab w:val="right" w:pos="9360" w:leader="dot"/>
        </w:tabs>
        <w:spacing w:after="140" w:before="160"/>
        <w:ind w:left="0"/>
      </w:pPr>
      <w:r>
        <w:rPr>
          <w:rFonts w:ascii="Arial" w:cs="Arial" w:eastAsia="Arial" w:hAnsi="Arial"/>
          <w:b/>
          <w:bCs/>
          <w:color w:val="1E3A5F"/>
          <w:sz w:val="22"/>
          <w:szCs w:val="22"/>
        </w:rPr>
        <w:t xml:space="preserve">11. Almacenes y Áreas Solicitantes</w:t>
      </w:r>
      <w:r>
        <w:rPr>
          <w:rFonts w:ascii="Arial" w:cs="Arial" w:eastAsia="Arial" w:hAnsi="Arial"/>
          <w:sz w:val="20"/>
          <w:szCs w:val="20"/>
        </w:rPr>
        <w:t xml:space="preserve">	</w:t>
      </w:r>
      <w:r>
        <w:rPr>
          <w:rFonts w:ascii="Arial" w:cs="Arial" w:eastAsia="Arial" w:hAnsi="Arial"/>
          <w:color w:val="475569"/>
          <w:sz w:val="20"/>
          <w:szCs w:val="20"/>
        </w:rPr>
        <w:t xml:space="preserve">23</w:t>
      </w:r>
    </w:p>
    <w:p>
      <w:pPr>
        <w:tabs>
          <w:tab w:val="right" w:pos="9360" w:leader="dot"/>
        </w:tabs>
        <w:spacing w:after="80" w:before="0"/>
        <w:ind w:left="340"/>
      </w:pPr>
      <w:r>
        <w:rPr>
          <w:rFonts w:ascii="Arial" w:cs="Arial" w:eastAsia="Arial" w:hAnsi="Arial"/>
          <w:b w:val="false"/>
          <w:bCs w:val="false"/>
          <w:color w:val="1E293B"/>
          <w:sz w:val="20"/>
          <w:szCs w:val="20"/>
        </w:rPr>
        <w:t xml:space="preserve">11.1 Almacenes</w:t>
      </w:r>
      <w:r>
        <w:rPr>
          <w:rFonts w:ascii="Arial" w:cs="Arial" w:eastAsia="Arial" w:hAnsi="Arial"/>
          <w:sz w:val="20"/>
          <w:szCs w:val="20"/>
        </w:rPr>
        <w:t xml:space="preserve">	</w:t>
      </w:r>
      <w:r>
        <w:rPr>
          <w:rFonts w:ascii="Arial" w:cs="Arial" w:eastAsia="Arial" w:hAnsi="Arial"/>
          <w:color w:val="475569"/>
          <w:sz w:val="20"/>
          <w:szCs w:val="20"/>
        </w:rPr>
        <w:t xml:space="preserve">23</w:t>
      </w:r>
    </w:p>
    <w:p>
      <w:pPr>
        <w:tabs>
          <w:tab w:val="right" w:pos="9360" w:leader="dot"/>
        </w:tabs>
        <w:spacing w:after="80" w:before="0"/>
        <w:ind w:left="340"/>
      </w:pPr>
      <w:r>
        <w:rPr>
          <w:rFonts w:ascii="Arial" w:cs="Arial" w:eastAsia="Arial" w:hAnsi="Arial"/>
          <w:b w:val="false"/>
          <w:bCs w:val="false"/>
          <w:color w:val="1E293B"/>
          <w:sz w:val="20"/>
          <w:szCs w:val="20"/>
        </w:rPr>
        <w:t xml:space="preserve">11.2 Áreas Solicitantes</w:t>
      </w:r>
      <w:r>
        <w:rPr>
          <w:rFonts w:ascii="Arial" w:cs="Arial" w:eastAsia="Arial" w:hAnsi="Arial"/>
          <w:sz w:val="20"/>
          <w:szCs w:val="20"/>
        </w:rPr>
        <w:t xml:space="preserve">	</w:t>
      </w:r>
      <w:r>
        <w:rPr>
          <w:rFonts w:ascii="Arial" w:cs="Arial" w:eastAsia="Arial" w:hAnsi="Arial"/>
          <w:color w:val="475569"/>
          <w:sz w:val="20"/>
          <w:szCs w:val="20"/>
        </w:rPr>
        <w:t xml:space="preserve">23</w:t>
      </w:r>
    </w:p>
    <w:p>
      <w:pPr>
        <w:tabs>
          <w:tab w:val="right" w:pos="9360" w:leader="dot"/>
        </w:tabs>
        <w:spacing w:after="80" w:before="0"/>
        <w:ind w:left="340"/>
      </w:pPr>
      <w:r>
        <w:rPr>
          <w:rFonts w:ascii="Arial" w:cs="Arial" w:eastAsia="Arial" w:hAnsi="Arial"/>
          <w:b w:val="false"/>
          <w:bCs w:val="false"/>
          <w:color w:val="1E293B"/>
          <w:sz w:val="20"/>
          <w:szCs w:val="20"/>
        </w:rPr>
        <w:t xml:space="preserve">11.3 "Área Solicitante" vs. "Centro de Costo → Área → Frente"</w:t>
      </w:r>
      <w:r>
        <w:rPr>
          <w:rFonts w:ascii="Arial" w:cs="Arial" w:eastAsia="Arial" w:hAnsi="Arial"/>
          <w:sz w:val="20"/>
          <w:szCs w:val="20"/>
        </w:rPr>
        <w:t xml:space="preserve">	</w:t>
      </w:r>
      <w:r>
        <w:rPr>
          <w:rFonts w:ascii="Arial" w:cs="Arial" w:eastAsia="Arial" w:hAnsi="Arial"/>
          <w:color w:val="475569"/>
          <w:sz w:val="20"/>
          <w:szCs w:val="20"/>
        </w:rPr>
        <w:t xml:space="preserve">23</w:t>
      </w:r>
    </w:p>
    <w:p>
      <w:pPr>
        <w:tabs>
          <w:tab w:val="right" w:pos="9360" w:leader="dot"/>
        </w:tabs>
        <w:spacing w:after="140" w:before="160"/>
        <w:ind w:left="0"/>
      </w:pPr>
      <w:r>
        <w:rPr>
          <w:rFonts w:ascii="Arial" w:cs="Arial" w:eastAsia="Arial" w:hAnsi="Arial"/>
          <w:b/>
          <w:bCs/>
          <w:color w:val="1E3A5F"/>
          <w:sz w:val="22"/>
          <w:szCs w:val="22"/>
        </w:rPr>
        <w:t xml:space="preserve">12. Órdenes de Pago</w:t>
      </w:r>
      <w:r>
        <w:rPr>
          <w:rFonts w:ascii="Arial" w:cs="Arial" w:eastAsia="Arial" w:hAnsi="Arial"/>
          <w:sz w:val="20"/>
          <w:szCs w:val="20"/>
        </w:rPr>
        <w:t xml:space="preserve">	</w:t>
      </w:r>
      <w:r>
        <w:rPr>
          <w:rFonts w:ascii="Arial" w:cs="Arial" w:eastAsia="Arial" w:hAnsi="Arial"/>
          <w:color w:val="475569"/>
          <w:sz w:val="20"/>
          <w:szCs w:val="20"/>
        </w:rPr>
        <w:t xml:space="preserve">24</w:t>
      </w:r>
    </w:p>
    <w:p>
      <w:pPr>
        <w:tabs>
          <w:tab w:val="right" w:pos="9360" w:leader="dot"/>
        </w:tabs>
        <w:spacing w:after="80" w:before="0"/>
        <w:ind w:left="340"/>
      </w:pPr>
      <w:r>
        <w:rPr>
          <w:rFonts w:ascii="Arial" w:cs="Arial" w:eastAsia="Arial" w:hAnsi="Arial"/>
          <w:b w:val="false"/>
          <w:bCs w:val="false"/>
          <w:color w:val="1E293B"/>
          <w:sz w:val="20"/>
          <w:szCs w:val="20"/>
        </w:rPr>
        <w:t xml:space="preserve">12.1 Estatus de una Orden de Pago</w:t>
      </w:r>
      <w:r>
        <w:rPr>
          <w:rFonts w:ascii="Arial" w:cs="Arial" w:eastAsia="Arial" w:hAnsi="Arial"/>
          <w:sz w:val="20"/>
          <w:szCs w:val="20"/>
        </w:rPr>
        <w:t xml:space="preserve">	</w:t>
      </w:r>
      <w:r>
        <w:rPr>
          <w:rFonts w:ascii="Arial" w:cs="Arial" w:eastAsia="Arial" w:hAnsi="Arial"/>
          <w:color w:val="475569"/>
          <w:sz w:val="20"/>
          <w:szCs w:val="20"/>
        </w:rPr>
        <w:t xml:space="preserve">24</w:t>
      </w:r>
    </w:p>
    <w:p>
      <w:pPr>
        <w:tabs>
          <w:tab w:val="right" w:pos="9360" w:leader="dot"/>
        </w:tabs>
        <w:spacing w:after="80" w:before="0"/>
        <w:ind w:left="340"/>
      </w:pPr>
      <w:r>
        <w:rPr>
          <w:rFonts w:ascii="Arial" w:cs="Arial" w:eastAsia="Arial" w:hAnsi="Arial"/>
          <w:b w:val="false"/>
          <w:bCs w:val="false"/>
          <w:color w:val="1E293B"/>
          <w:sz w:val="20"/>
          <w:szCs w:val="20"/>
        </w:rPr>
        <w:t xml:space="preserve">12.2 Orden de Pago con Orden de Compra</w:t>
      </w:r>
      <w:r>
        <w:rPr>
          <w:rFonts w:ascii="Arial" w:cs="Arial" w:eastAsia="Arial" w:hAnsi="Arial"/>
          <w:sz w:val="20"/>
          <w:szCs w:val="20"/>
        </w:rPr>
        <w:t xml:space="preserve">	</w:t>
      </w:r>
      <w:r>
        <w:rPr>
          <w:rFonts w:ascii="Arial" w:cs="Arial" w:eastAsia="Arial" w:hAnsi="Arial"/>
          <w:color w:val="475569"/>
          <w:sz w:val="20"/>
          <w:szCs w:val="20"/>
        </w:rPr>
        <w:t xml:space="preserve">24</w:t>
      </w:r>
    </w:p>
    <w:p>
      <w:pPr>
        <w:tabs>
          <w:tab w:val="right" w:pos="9360" w:leader="dot"/>
        </w:tabs>
        <w:spacing w:after="80" w:before="0"/>
        <w:ind w:left="340"/>
      </w:pPr>
      <w:r>
        <w:rPr>
          <w:rFonts w:ascii="Arial" w:cs="Arial" w:eastAsia="Arial" w:hAnsi="Arial"/>
          <w:b w:val="false"/>
          <w:bCs w:val="false"/>
          <w:color w:val="1E293B"/>
          <w:sz w:val="20"/>
          <w:szCs w:val="20"/>
        </w:rPr>
        <w:t xml:space="preserve">12.3 Orden de Pago sin Orden de Compra (gasto directo)</w:t>
      </w:r>
      <w:r>
        <w:rPr>
          <w:rFonts w:ascii="Arial" w:cs="Arial" w:eastAsia="Arial" w:hAnsi="Arial"/>
          <w:sz w:val="20"/>
          <w:szCs w:val="20"/>
        </w:rPr>
        <w:t xml:space="preserve">	</w:t>
      </w:r>
      <w:r>
        <w:rPr>
          <w:rFonts w:ascii="Arial" w:cs="Arial" w:eastAsia="Arial" w:hAnsi="Arial"/>
          <w:color w:val="475569"/>
          <w:sz w:val="20"/>
          <w:szCs w:val="20"/>
        </w:rPr>
        <w:t xml:space="preserve">24</w:t>
      </w:r>
    </w:p>
    <w:p>
      <w:pPr>
        <w:tabs>
          <w:tab w:val="right" w:pos="9360" w:leader="dot"/>
        </w:tabs>
        <w:spacing w:after="80" w:before="0"/>
        <w:ind w:left="340"/>
      </w:pPr>
      <w:r>
        <w:rPr>
          <w:rFonts w:ascii="Arial" w:cs="Arial" w:eastAsia="Arial" w:hAnsi="Arial"/>
          <w:b w:val="false"/>
          <w:bCs w:val="false"/>
          <w:color w:val="1E293B"/>
          <w:sz w:val="20"/>
          <w:szCs w:val="20"/>
        </w:rPr>
        <w:t xml:space="preserve">12.4 Campo Urgencia</w:t>
      </w:r>
      <w:r>
        <w:rPr>
          <w:rFonts w:ascii="Arial" w:cs="Arial" w:eastAsia="Arial" w:hAnsi="Arial"/>
          <w:sz w:val="20"/>
          <w:szCs w:val="20"/>
        </w:rPr>
        <w:t xml:space="preserve">	</w:t>
      </w:r>
      <w:r>
        <w:rPr>
          <w:rFonts w:ascii="Arial" w:cs="Arial" w:eastAsia="Arial" w:hAnsi="Arial"/>
          <w:color w:val="475569"/>
          <w:sz w:val="20"/>
          <w:szCs w:val="20"/>
        </w:rPr>
        <w:t xml:space="preserve">25</w:t>
      </w:r>
    </w:p>
    <w:p>
      <w:pPr>
        <w:tabs>
          <w:tab w:val="right" w:pos="9360" w:leader="dot"/>
        </w:tabs>
        <w:spacing w:after="80" w:before="0"/>
        <w:ind w:left="340"/>
      </w:pPr>
      <w:r>
        <w:rPr>
          <w:rFonts w:ascii="Arial" w:cs="Arial" w:eastAsia="Arial" w:hAnsi="Arial"/>
          <w:b w:val="false"/>
          <w:bCs w:val="false"/>
          <w:color w:val="1E293B"/>
          <w:sz w:val="20"/>
          <w:szCs w:val="20"/>
        </w:rPr>
        <w:t xml:space="preserve">12.5 Autorización de Órdenes de Pago sin OC</w:t>
      </w:r>
      <w:r>
        <w:rPr>
          <w:rFonts w:ascii="Arial" w:cs="Arial" w:eastAsia="Arial" w:hAnsi="Arial"/>
          <w:sz w:val="20"/>
          <w:szCs w:val="20"/>
        </w:rPr>
        <w:t xml:space="preserve">	</w:t>
      </w:r>
      <w:r>
        <w:rPr>
          <w:rFonts w:ascii="Arial" w:cs="Arial" w:eastAsia="Arial" w:hAnsi="Arial"/>
          <w:color w:val="475569"/>
          <w:sz w:val="20"/>
          <w:szCs w:val="20"/>
        </w:rPr>
        <w:t xml:space="preserve">25</w:t>
      </w:r>
    </w:p>
    <w:p>
      <w:pPr>
        <w:tabs>
          <w:tab w:val="right" w:pos="9360" w:leader="dot"/>
        </w:tabs>
        <w:spacing w:after="80" w:before="0"/>
        <w:ind w:left="340"/>
      </w:pPr>
      <w:r>
        <w:rPr>
          <w:rFonts w:ascii="Arial" w:cs="Arial" w:eastAsia="Arial" w:hAnsi="Arial"/>
          <w:b w:val="false"/>
          <w:bCs w:val="false"/>
          <w:color w:val="1E293B"/>
          <w:sz w:val="20"/>
          <w:szCs w:val="20"/>
        </w:rPr>
        <w:t xml:space="preserve">12.6 Instrucciones y respuestas (hilo con Tesorería)</w:t>
      </w:r>
      <w:r>
        <w:rPr>
          <w:rFonts w:ascii="Arial" w:cs="Arial" w:eastAsia="Arial" w:hAnsi="Arial"/>
          <w:sz w:val="20"/>
          <w:szCs w:val="20"/>
        </w:rPr>
        <w:t xml:space="preserve">	</w:t>
      </w:r>
      <w:r>
        <w:rPr>
          <w:rFonts w:ascii="Arial" w:cs="Arial" w:eastAsia="Arial" w:hAnsi="Arial"/>
          <w:color w:val="475569"/>
          <w:sz w:val="20"/>
          <w:szCs w:val="20"/>
        </w:rPr>
        <w:t xml:space="preserve">25</w:t>
      </w:r>
    </w:p>
    <w:p>
      <w:pPr>
        <w:tabs>
          <w:tab w:val="right" w:pos="9360" w:leader="dot"/>
        </w:tabs>
        <w:spacing w:after="80" w:before="0"/>
        <w:ind w:left="340"/>
      </w:pPr>
      <w:r>
        <w:rPr>
          <w:rFonts w:ascii="Arial" w:cs="Arial" w:eastAsia="Arial" w:hAnsi="Arial"/>
          <w:b w:val="false"/>
          <w:bCs w:val="false"/>
          <w:color w:val="1E293B"/>
          <w:sz w:val="20"/>
          <w:szCs w:val="20"/>
        </w:rPr>
        <w:t xml:space="preserve">12.7 Documentos y edición posterior</w:t>
      </w:r>
      <w:r>
        <w:rPr>
          <w:rFonts w:ascii="Arial" w:cs="Arial" w:eastAsia="Arial" w:hAnsi="Arial"/>
          <w:sz w:val="20"/>
          <w:szCs w:val="20"/>
        </w:rPr>
        <w:t xml:space="preserve">	</w:t>
      </w:r>
      <w:r>
        <w:rPr>
          <w:rFonts w:ascii="Arial" w:cs="Arial" w:eastAsia="Arial" w:hAnsi="Arial"/>
          <w:color w:val="475569"/>
          <w:sz w:val="20"/>
          <w:szCs w:val="20"/>
        </w:rPr>
        <w:t xml:space="preserve">25</w:t>
      </w:r>
    </w:p>
    <w:p>
      <w:pPr>
        <w:tabs>
          <w:tab w:val="right" w:pos="9360" w:leader="dot"/>
        </w:tabs>
        <w:spacing w:after="80" w:before="0"/>
        <w:ind w:left="340"/>
      </w:pPr>
      <w:r>
        <w:rPr>
          <w:rFonts w:ascii="Arial" w:cs="Arial" w:eastAsia="Arial" w:hAnsi="Arial"/>
          <w:b w:val="false"/>
          <w:bCs w:val="false"/>
          <w:color w:val="1E293B"/>
          <w:sz w:val="20"/>
          <w:szCs w:val="20"/>
        </w:rPr>
        <w:t xml:space="preserve">12.8 Servicio de suministro asociado (CFE / Agua)</w:t>
      </w:r>
      <w:r>
        <w:rPr>
          <w:rFonts w:ascii="Arial" w:cs="Arial" w:eastAsia="Arial" w:hAnsi="Arial"/>
          <w:sz w:val="20"/>
          <w:szCs w:val="20"/>
        </w:rPr>
        <w:t xml:space="preserve">	</w:t>
      </w:r>
      <w:r>
        <w:rPr>
          <w:rFonts w:ascii="Arial" w:cs="Arial" w:eastAsia="Arial" w:hAnsi="Arial"/>
          <w:color w:val="475569"/>
          <w:sz w:val="20"/>
          <w:szCs w:val="20"/>
        </w:rPr>
        <w:t xml:space="preserve">26</w:t>
      </w:r>
    </w:p>
    <w:p>
      <w:pPr>
        <w:tabs>
          <w:tab w:val="right" w:pos="9360" w:leader="dot"/>
        </w:tabs>
        <w:spacing w:after="140" w:before="160"/>
        <w:ind w:left="0"/>
      </w:pPr>
      <w:r>
        <w:rPr>
          <w:rFonts w:ascii="Arial" w:cs="Arial" w:eastAsia="Arial" w:hAnsi="Arial"/>
          <w:b/>
          <w:bCs/>
          <w:color w:val="1E3A5F"/>
          <w:sz w:val="22"/>
          <w:szCs w:val="22"/>
        </w:rPr>
        <w:t xml:space="preserve">13. Cuentas por Pagar (CXP)</w:t>
      </w:r>
      <w:r>
        <w:rPr>
          <w:rFonts w:ascii="Arial" w:cs="Arial" w:eastAsia="Arial" w:hAnsi="Arial"/>
          <w:sz w:val="20"/>
          <w:szCs w:val="20"/>
        </w:rPr>
        <w:t xml:space="preserve">	</w:t>
      </w:r>
      <w:r>
        <w:rPr>
          <w:rFonts w:ascii="Arial" w:cs="Arial" w:eastAsia="Arial" w:hAnsi="Arial"/>
          <w:color w:val="475569"/>
          <w:sz w:val="20"/>
          <w:szCs w:val="20"/>
        </w:rPr>
        <w:t xml:space="preserve">27</w:t>
      </w:r>
    </w:p>
    <w:p>
      <w:pPr>
        <w:tabs>
          <w:tab w:val="right" w:pos="9360" w:leader="dot"/>
        </w:tabs>
        <w:spacing w:after="80" w:before="0"/>
        <w:ind w:left="340"/>
      </w:pPr>
      <w:r>
        <w:rPr>
          <w:rFonts w:ascii="Arial" w:cs="Arial" w:eastAsia="Arial" w:hAnsi="Arial"/>
          <w:b w:val="false"/>
          <w:bCs w:val="false"/>
          <w:color w:val="1E293B"/>
          <w:sz w:val="20"/>
          <w:szCs w:val="20"/>
        </w:rPr>
        <w:t xml:space="preserve">13.1 Consulta por proveedor</w:t>
      </w:r>
      <w:r>
        <w:rPr>
          <w:rFonts w:ascii="Arial" w:cs="Arial" w:eastAsia="Arial" w:hAnsi="Arial"/>
          <w:sz w:val="20"/>
          <w:szCs w:val="20"/>
        </w:rPr>
        <w:t xml:space="preserve">	</w:t>
      </w:r>
      <w:r>
        <w:rPr>
          <w:rFonts w:ascii="Arial" w:cs="Arial" w:eastAsia="Arial" w:hAnsi="Arial"/>
          <w:color w:val="475569"/>
          <w:sz w:val="20"/>
          <w:szCs w:val="20"/>
        </w:rPr>
        <w:t xml:space="preserve">27</w:t>
      </w:r>
    </w:p>
    <w:p>
      <w:pPr>
        <w:tabs>
          <w:tab w:val="right" w:pos="9360" w:leader="dot"/>
        </w:tabs>
        <w:spacing w:after="80" w:before="0"/>
        <w:ind w:left="340"/>
      </w:pPr>
      <w:r>
        <w:rPr>
          <w:rFonts w:ascii="Arial" w:cs="Arial" w:eastAsia="Arial" w:hAnsi="Arial"/>
          <w:b w:val="false"/>
          <w:bCs w:val="false"/>
          <w:color w:val="1E293B"/>
          <w:sz w:val="20"/>
          <w:szCs w:val="20"/>
        </w:rPr>
        <w:t xml:space="preserve">13.2 Antigüedad de saldos</w:t>
      </w:r>
      <w:r>
        <w:rPr>
          <w:rFonts w:ascii="Arial" w:cs="Arial" w:eastAsia="Arial" w:hAnsi="Arial"/>
          <w:sz w:val="20"/>
          <w:szCs w:val="20"/>
        </w:rPr>
        <w:t xml:space="preserve">	</w:t>
      </w:r>
      <w:r>
        <w:rPr>
          <w:rFonts w:ascii="Arial" w:cs="Arial" w:eastAsia="Arial" w:hAnsi="Arial"/>
          <w:color w:val="475569"/>
          <w:sz w:val="20"/>
          <w:szCs w:val="20"/>
        </w:rPr>
        <w:t xml:space="preserve">27</w:t>
      </w:r>
    </w:p>
    <w:p>
      <w:pPr>
        <w:tabs>
          <w:tab w:val="right" w:pos="9360" w:leader="dot"/>
        </w:tabs>
        <w:spacing w:after="80" w:before="0"/>
        <w:ind w:left="340"/>
      </w:pPr>
      <w:r>
        <w:rPr>
          <w:rFonts w:ascii="Arial" w:cs="Arial" w:eastAsia="Arial" w:hAnsi="Arial"/>
          <w:b w:val="false"/>
          <w:bCs w:val="false"/>
          <w:color w:val="1E293B"/>
          <w:sz w:val="20"/>
          <w:szCs w:val="20"/>
        </w:rPr>
        <w:t xml:space="preserve">13.3 Registrar un pago</w:t>
      </w:r>
      <w:r>
        <w:rPr>
          <w:rFonts w:ascii="Arial" w:cs="Arial" w:eastAsia="Arial" w:hAnsi="Arial"/>
          <w:sz w:val="20"/>
          <w:szCs w:val="20"/>
        </w:rPr>
        <w:t xml:space="preserve">	</w:t>
      </w:r>
      <w:r>
        <w:rPr>
          <w:rFonts w:ascii="Arial" w:cs="Arial" w:eastAsia="Arial" w:hAnsi="Arial"/>
          <w:color w:val="475569"/>
          <w:sz w:val="20"/>
          <w:szCs w:val="20"/>
        </w:rPr>
        <w:t xml:space="preserve">27</w:t>
      </w:r>
    </w:p>
    <w:p>
      <w:pPr>
        <w:tabs>
          <w:tab w:val="right" w:pos="9360" w:leader="dot"/>
        </w:tabs>
        <w:spacing w:after="140" w:before="160"/>
        <w:ind w:left="0"/>
      </w:pPr>
      <w:r>
        <w:rPr>
          <w:rFonts w:ascii="Arial" w:cs="Arial" w:eastAsia="Arial" w:hAnsi="Arial"/>
          <w:b/>
          <w:bCs/>
          <w:color w:val="1E3A5F"/>
          <w:sz w:val="22"/>
          <w:szCs w:val="22"/>
        </w:rPr>
        <w:t xml:space="preserve">14. Caja Chica</w:t>
      </w:r>
      <w:r>
        <w:rPr>
          <w:rFonts w:ascii="Arial" w:cs="Arial" w:eastAsia="Arial" w:hAnsi="Arial"/>
          <w:sz w:val="20"/>
          <w:szCs w:val="20"/>
        </w:rPr>
        <w:t xml:space="preserve">	</w:t>
      </w:r>
      <w:r>
        <w:rPr>
          <w:rFonts w:ascii="Arial" w:cs="Arial" w:eastAsia="Arial" w:hAnsi="Arial"/>
          <w:color w:val="475569"/>
          <w:sz w:val="20"/>
          <w:szCs w:val="20"/>
        </w:rPr>
        <w:t xml:space="preserve">28</w:t>
      </w:r>
    </w:p>
    <w:p>
      <w:pPr>
        <w:tabs>
          <w:tab w:val="right" w:pos="9360" w:leader="dot"/>
        </w:tabs>
        <w:spacing w:after="80" w:before="0"/>
        <w:ind w:left="340"/>
      </w:pPr>
      <w:r>
        <w:rPr>
          <w:rFonts w:ascii="Arial" w:cs="Arial" w:eastAsia="Arial" w:hAnsi="Arial"/>
          <w:b w:val="false"/>
          <w:bCs w:val="false"/>
          <w:color w:val="1E293B"/>
          <w:sz w:val="20"/>
          <w:szCs w:val="20"/>
        </w:rPr>
        <w:t xml:space="preserve">14.1 Fondos asignados</w:t>
      </w:r>
      <w:r>
        <w:rPr>
          <w:rFonts w:ascii="Arial" w:cs="Arial" w:eastAsia="Arial" w:hAnsi="Arial"/>
          <w:sz w:val="20"/>
          <w:szCs w:val="20"/>
        </w:rPr>
        <w:t xml:space="preserve">	</w:t>
      </w:r>
      <w:r>
        <w:rPr>
          <w:rFonts w:ascii="Arial" w:cs="Arial" w:eastAsia="Arial" w:hAnsi="Arial"/>
          <w:color w:val="475569"/>
          <w:sz w:val="20"/>
          <w:szCs w:val="20"/>
        </w:rPr>
        <w:t xml:space="preserve">28</w:t>
      </w:r>
    </w:p>
    <w:p>
      <w:pPr>
        <w:tabs>
          <w:tab w:val="right" w:pos="9360" w:leader="dot"/>
        </w:tabs>
        <w:spacing w:after="80" w:before="0"/>
        <w:ind w:left="340"/>
      </w:pPr>
      <w:r>
        <w:rPr>
          <w:rFonts w:ascii="Arial" w:cs="Arial" w:eastAsia="Arial" w:hAnsi="Arial"/>
          <w:b w:val="false"/>
          <w:bCs w:val="false"/>
          <w:color w:val="1E293B"/>
          <w:sz w:val="20"/>
          <w:szCs w:val="20"/>
        </w:rPr>
        <w:t xml:space="preserve">14.2 Crear un reembolso</w:t>
      </w:r>
      <w:r>
        <w:rPr>
          <w:rFonts w:ascii="Arial" w:cs="Arial" w:eastAsia="Arial" w:hAnsi="Arial"/>
          <w:sz w:val="20"/>
          <w:szCs w:val="20"/>
        </w:rPr>
        <w:t xml:space="preserve">	</w:t>
      </w:r>
      <w:r>
        <w:rPr>
          <w:rFonts w:ascii="Arial" w:cs="Arial" w:eastAsia="Arial" w:hAnsi="Arial"/>
          <w:color w:val="475569"/>
          <w:sz w:val="20"/>
          <w:szCs w:val="20"/>
        </w:rPr>
        <w:t xml:space="preserve">28</w:t>
      </w:r>
    </w:p>
    <w:p>
      <w:pPr>
        <w:tabs>
          <w:tab w:val="right" w:pos="9360" w:leader="dot"/>
        </w:tabs>
        <w:spacing w:after="80" w:before="0"/>
        <w:ind w:left="340"/>
      </w:pPr>
      <w:r>
        <w:rPr>
          <w:rFonts w:ascii="Arial" w:cs="Arial" w:eastAsia="Arial" w:hAnsi="Arial"/>
          <w:b w:val="false"/>
          <w:bCs w:val="false"/>
          <w:color w:val="1E293B"/>
          <w:sz w:val="20"/>
          <w:szCs w:val="20"/>
        </w:rPr>
        <w:t xml:space="preserve">14.3 Autorización y generación automática de la Orden de Pago</w:t>
      </w:r>
      <w:r>
        <w:rPr>
          <w:rFonts w:ascii="Arial" w:cs="Arial" w:eastAsia="Arial" w:hAnsi="Arial"/>
          <w:sz w:val="20"/>
          <w:szCs w:val="20"/>
        </w:rPr>
        <w:t xml:space="preserve">	</w:t>
      </w:r>
      <w:r>
        <w:rPr>
          <w:rFonts w:ascii="Arial" w:cs="Arial" w:eastAsia="Arial" w:hAnsi="Arial"/>
          <w:color w:val="475569"/>
          <w:sz w:val="20"/>
          <w:szCs w:val="20"/>
        </w:rPr>
        <w:t xml:space="preserve">28</w:t>
      </w:r>
    </w:p>
    <w:p>
      <w:pPr>
        <w:tabs>
          <w:tab w:val="right" w:pos="9360" w:leader="dot"/>
        </w:tabs>
        <w:spacing w:after="140" w:before="160"/>
        <w:ind w:left="0"/>
      </w:pPr>
      <w:r>
        <w:rPr>
          <w:rFonts w:ascii="Arial" w:cs="Arial" w:eastAsia="Arial" w:hAnsi="Arial"/>
          <w:b/>
          <w:bCs/>
          <w:color w:val="1E3A5F"/>
          <w:sz w:val="22"/>
          <w:szCs w:val="22"/>
        </w:rPr>
        <w:t xml:space="preserve">15. Combustible</w:t>
      </w:r>
      <w:r>
        <w:rPr>
          <w:rFonts w:ascii="Arial" w:cs="Arial" w:eastAsia="Arial" w:hAnsi="Arial"/>
          <w:sz w:val="20"/>
          <w:szCs w:val="20"/>
        </w:rPr>
        <w:t xml:space="preserve">	</w:t>
      </w:r>
      <w:r>
        <w:rPr>
          <w:rFonts w:ascii="Arial" w:cs="Arial" w:eastAsia="Arial" w:hAnsi="Arial"/>
          <w:color w:val="475569"/>
          <w:sz w:val="20"/>
          <w:szCs w:val="20"/>
        </w:rPr>
        <w:t xml:space="preserve">30</w:t>
      </w:r>
    </w:p>
    <w:p>
      <w:pPr>
        <w:tabs>
          <w:tab w:val="right" w:pos="9360" w:leader="dot"/>
        </w:tabs>
        <w:spacing w:after="80" w:before="0"/>
        <w:ind w:left="340"/>
      </w:pPr>
      <w:r>
        <w:rPr>
          <w:rFonts w:ascii="Arial" w:cs="Arial" w:eastAsia="Arial" w:hAnsi="Arial"/>
          <w:b w:val="false"/>
          <w:bCs w:val="false"/>
          <w:color w:val="1E293B"/>
          <w:sz w:val="20"/>
          <w:szCs w:val="20"/>
        </w:rPr>
        <w:t xml:space="preserve">15.1 Consultar el kardex de combustible</w:t>
      </w:r>
      <w:r>
        <w:rPr>
          <w:rFonts w:ascii="Arial" w:cs="Arial" w:eastAsia="Arial" w:hAnsi="Arial"/>
          <w:sz w:val="20"/>
          <w:szCs w:val="20"/>
        </w:rPr>
        <w:t xml:space="preserve">	</w:t>
      </w:r>
      <w:r>
        <w:rPr>
          <w:rFonts w:ascii="Arial" w:cs="Arial" w:eastAsia="Arial" w:hAnsi="Arial"/>
          <w:color w:val="475569"/>
          <w:sz w:val="20"/>
          <w:szCs w:val="20"/>
        </w:rPr>
        <w:t xml:space="preserve">30</w:t>
      </w:r>
    </w:p>
    <w:p>
      <w:pPr>
        <w:tabs>
          <w:tab w:val="right" w:pos="9360" w:leader="dot"/>
        </w:tabs>
        <w:spacing w:after="80" w:before="0"/>
        <w:ind w:left="340"/>
      </w:pPr>
      <w:r>
        <w:rPr>
          <w:rFonts w:ascii="Arial" w:cs="Arial" w:eastAsia="Arial" w:hAnsi="Arial"/>
          <w:b w:val="false"/>
          <w:bCs w:val="false"/>
          <w:color w:val="1E293B"/>
          <w:sz w:val="20"/>
          <w:szCs w:val="20"/>
        </w:rPr>
        <w:t xml:space="preserve">15.2 Registrar un movimiento</w:t>
      </w:r>
      <w:r>
        <w:rPr>
          <w:rFonts w:ascii="Arial" w:cs="Arial" w:eastAsia="Arial" w:hAnsi="Arial"/>
          <w:sz w:val="20"/>
          <w:szCs w:val="20"/>
        </w:rPr>
        <w:t xml:space="preserve">	</w:t>
      </w:r>
      <w:r>
        <w:rPr>
          <w:rFonts w:ascii="Arial" w:cs="Arial" w:eastAsia="Arial" w:hAnsi="Arial"/>
          <w:color w:val="475569"/>
          <w:sz w:val="20"/>
          <w:szCs w:val="20"/>
        </w:rPr>
        <w:t xml:space="preserve">30</w:t>
      </w:r>
    </w:p>
    <w:p>
      <w:pPr>
        <w:tabs>
          <w:tab w:val="right" w:pos="9360" w:leader="dot"/>
        </w:tabs>
        <w:spacing w:after="140" w:before="160"/>
        <w:ind w:left="0"/>
      </w:pPr>
      <w:r>
        <w:rPr>
          <w:rFonts w:ascii="Arial" w:cs="Arial" w:eastAsia="Arial" w:hAnsi="Arial"/>
          <w:b/>
          <w:bCs/>
          <w:color w:val="1E3A5F"/>
          <w:sz w:val="22"/>
          <w:szCs w:val="22"/>
        </w:rPr>
        <w:t xml:space="preserve">16. Preguntas Frecuentes y Solución de Problemas</w:t>
      </w:r>
      <w:r>
        <w:rPr>
          <w:rFonts w:ascii="Arial" w:cs="Arial" w:eastAsia="Arial" w:hAnsi="Arial"/>
          <w:sz w:val="20"/>
          <w:szCs w:val="20"/>
        </w:rPr>
        <w:t xml:space="preserve">	</w:t>
      </w:r>
      <w:r>
        <w:rPr>
          <w:rFonts w:ascii="Arial" w:cs="Arial" w:eastAsia="Arial" w:hAnsi="Arial"/>
          <w:color w:val="475569"/>
          <w:sz w:val="20"/>
          <w:szCs w:val="20"/>
        </w:rPr>
        <w:t xml:space="preserve">31</w:t>
      </w:r>
    </w:p>
    <w:p>
      <w:pPr>
        <w:tabs>
          <w:tab w:val="right" w:pos="9360" w:leader="dot"/>
        </w:tabs>
        <w:spacing w:after="80" w:before="0"/>
        <w:ind w:left="340"/>
      </w:pPr>
      <w:r>
        <w:rPr>
          <w:rFonts w:ascii="Arial" w:cs="Arial" w:eastAsia="Arial" w:hAnsi="Arial"/>
          <w:b w:val="false"/>
          <w:bCs w:val="false"/>
          <w:color w:val="1E293B"/>
          <w:sz w:val="20"/>
          <w:szCs w:val="20"/>
        </w:rPr>
        <w:t xml:space="preserve">16.1 Folios y numeración</w:t>
      </w:r>
      <w:r>
        <w:rPr>
          <w:rFonts w:ascii="Arial" w:cs="Arial" w:eastAsia="Arial" w:hAnsi="Arial"/>
          <w:sz w:val="20"/>
          <w:szCs w:val="20"/>
        </w:rPr>
        <w:t xml:space="preserve">	</w:t>
      </w:r>
      <w:r>
        <w:rPr>
          <w:rFonts w:ascii="Arial" w:cs="Arial" w:eastAsia="Arial" w:hAnsi="Arial"/>
          <w:color w:val="475569"/>
          <w:sz w:val="20"/>
          <w:szCs w:val="20"/>
        </w:rPr>
        <w:t xml:space="preserve">31</w:t>
      </w:r>
    </w:p>
    <w:p>
      <w:pPr>
        <w:tabs>
          <w:tab w:val="right" w:pos="9360" w:leader="dot"/>
        </w:tabs>
        <w:spacing w:after="80" w:before="0"/>
        <w:ind w:left="340"/>
      </w:pPr>
      <w:r>
        <w:rPr>
          <w:rFonts w:ascii="Arial" w:cs="Arial" w:eastAsia="Arial" w:hAnsi="Arial"/>
          <w:b w:val="false"/>
          <w:bCs w:val="false"/>
          <w:color w:val="1E293B"/>
          <w:sz w:val="20"/>
          <w:szCs w:val="20"/>
        </w:rPr>
        <w:t xml:space="preserve">16.2 Mensajes de validación más comunes</w:t>
      </w:r>
      <w:r>
        <w:rPr>
          <w:rFonts w:ascii="Arial" w:cs="Arial" w:eastAsia="Arial" w:hAnsi="Arial"/>
          <w:sz w:val="20"/>
          <w:szCs w:val="20"/>
        </w:rPr>
        <w:t xml:space="preserve">	</w:t>
      </w:r>
      <w:r>
        <w:rPr>
          <w:rFonts w:ascii="Arial" w:cs="Arial" w:eastAsia="Arial" w:hAnsi="Arial"/>
          <w:color w:val="475569"/>
          <w:sz w:val="20"/>
          <w:szCs w:val="20"/>
        </w:rPr>
        <w:t xml:space="preserve">31</w:t>
      </w:r>
    </w:p>
    <w:p>
      <w:pPr>
        <w:tabs>
          <w:tab w:val="right" w:pos="9360" w:leader="dot"/>
        </w:tabs>
        <w:spacing w:after="80" w:before="0"/>
        <w:ind w:left="340"/>
      </w:pPr>
      <w:r>
        <w:rPr>
          <w:rFonts w:ascii="Arial" w:cs="Arial" w:eastAsia="Arial" w:hAnsi="Arial"/>
          <w:b w:val="false"/>
          <w:bCs w:val="false"/>
          <w:color w:val="1E293B"/>
          <w:sz w:val="20"/>
          <w:szCs w:val="20"/>
        </w:rPr>
        <w:t xml:space="preserve">16.3 El inventario no se actualizó después de una recepción</w:t>
      </w:r>
      <w:r>
        <w:rPr>
          <w:rFonts w:ascii="Arial" w:cs="Arial" w:eastAsia="Arial" w:hAnsi="Arial"/>
          <w:sz w:val="20"/>
          <w:szCs w:val="20"/>
        </w:rPr>
        <w:t xml:space="preserve">	</w:t>
      </w:r>
      <w:r>
        <w:rPr>
          <w:rFonts w:ascii="Arial" w:cs="Arial" w:eastAsia="Arial" w:hAnsi="Arial"/>
          <w:color w:val="475569"/>
          <w:sz w:val="20"/>
          <w:szCs w:val="20"/>
        </w:rPr>
        <w:t xml:space="preserve">32</w:t>
      </w:r>
    </w:p>
    <w:p>
      <w:pPr>
        <w:tabs>
          <w:tab w:val="right" w:pos="9360" w:leader="dot"/>
        </w:tabs>
        <w:spacing w:after="80" w:before="0"/>
        <w:ind w:left="340"/>
      </w:pPr>
      <w:r>
        <w:rPr>
          <w:rFonts w:ascii="Arial" w:cs="Arial" w:eastAsia="Arial" w:hAnsi="Arial"/>
          <w:b w:val="false"/>
          <w:bCs w:val="false"/>
          <w:color w:val="1E293B"/>
          <w:sz w:val="20"/>
          <w:szCs w:val="20"/>
        </w:rPr>
        <w:t xml:space="preserve">16.4 No encuentro la pantalla de Cuentas por Pagar</w:t>
      </w:r>
      <w:r>
        <w:rPr>
          <w:rFonts w:ascii="Arial" w:cs="Arial" w:eastAsia="Arial" w:hAnsi="Arial"/>
          <w:sz w:val="20"/>
          <w:szCs w:val="20"/>
        </w:rPr>
        <w:t xml:space="preserve">	</w:t>
      </w:r>
      <w:r>
        <w:rPr>
          <w:rFonts w:ascii="Arial" w:cs="Arial" w:eastAsia="Arial" w:hAnsi="Arial"/>
          <w:color w:val="475569"/>
          <w:sz w:val="20"/>
          <w:szCs w:val="20"/>
        </w:rPr>
        <w:t xml:space="preserve">32</w:t>
      </w:r>
    </w:p>
    <w:p>
      <w:pPr>
        <w:tabs>
          <w:tab w:val="right" w:pos="9360" w:leader="dot"/>
        </w:tabs>
        <w:spacing w:after="80" w:before="0"/>
        <w:ind w:left="340"/>
      </w:pPr>
      <w:r>
        <w:rPr>
          <w:rFonts w:ascii="Arial" w:cs="Arial" w:eastAsia="Arial" w:hAnsi="Arial"/>
          <w:b w:val="false"/>
          <w:bCs w:val="false"/>
          <w:color w:val="1E293B"/>
          <w:sz w:val="20"/>
          <w:szCs w:val="20"/>
        </w:rPr>
        <w:t xml:space="preserve">16.5 No veo el botón para crear/editar en un submódulo que sí puedo abrir</w:t>
      </w:r>
      <w:r>
        <w:rPr>
          <w:rFonts w:ascii="Arial" w:cs="Arial" w:eastAsia="Arial" w:hAnsi="Arial"/>
          <w:sz w:val="20"/>
          <w:szCs w:val="20"/>
        </w:rPr>
        <w:t xml:space="preserve">	</w:t>
      </w:r>
      <w:r>
        <w:rPr>
          <w:rFonts w:ascii="Arial" w:cs="Arial" w:eastAsia="Arial" w:hAnsi="Arial"/>
          <w:color w:val="475569"/>
          <w:sz w:val="20"/>
          <w:szCs w:val="20"/>
        </w:rPr>
        <w:t xml:space="preserve">33</w:t>
      </w:r>
    </w:p>
    <w:p>
      <w:pPr>
        <w:tabs>
          <w:tab w:val="right" w:pos="9360" w:leader="dot"/>
        </w:tabs>
        <w:spacing w:after="80" w:before="0"/>
        <w:ind w:left="340"/>
      </w:pPr>
      <w:r>
        <w:rPr>
          <w:rFonts w:ascii="Arial" w:cs="Arial" w:eastAsia="Arial" w:hAnsi="Arial"/>
          <w:b w:val="false"/>
          <w:bCs w:val="false"/>
          <w:color w:val="1E293B"/>
          <w:sz w:val="20"/>
          <w:szCs w:val="20"/>
        </w:rPr>
        <w:t xml:space="preserve">16.6 No puedo elegir cierto Tipo de Gasto en una Orden de Pago</w:t>
      </w:r>
      <w:r>
        <w:rPr>
          <w:rFonts w:ascii="Arial" w:cs="Arial" w:eastAsia="Arial" w:hAnsi="Arial"/>
          <w:sz w:val="20"/>
          <w:szCs w:val="20"/>
        </w:rPr>
        <w:t xml:space="preserve">	</w:t>
      </w:r>
      <w:r>
        <w:rPr>
          <w:rFonts w:ascii="Arial" w:cs="Arial" w:eastAsia="Arial" w:hAnsi="Arial"/>
          <w:color w:val="475569"/>
          <w:sz w:val="20"/>
          <w:szCs w:val="20"/>
        </w:rPr>
        <w:t xml:space="preserve">33</w:t>
      </w:r>
    </w:p>
    <w:p>
      <w:pPr>
        <w:tabs>
          <w:tab w:val="right" w:pos="9360" w:leader="dot"/>
        </w:tabs>
        <w:spacing w:after="80" w:before="0"/>
        <w:ind w:left="340"/>
      </w:pPr>
      <w:r>
        <w:rPr>
          <w:rFonts w:ascii="Arial" w:cs="Arial" w:eastAsia="Arial" w:hAnsi="Arial"/>
          <w:b w:val="false"/>
          <w:bCs w:val="false"/>
          <w:color w:val="1E293B"/>
          <w:sz w:val="20"/>
          <w:szCs w:val="20"/>
        </w:rPr>
        <w:t xml:space="preserve">16.7 Diferencia entre "Enviada al Prov" y "Autorizada" en una Orden de Compra</w:t>
      </w:r>
      <w:r>
        <w:rPr>
          <w:rFonts w:ascii="Arial" w:cs="Arial" w:eastAsia="Arial" w:hAnsi="Arial"/>
          <w:sz w:val="20"/>
          <w:szCs w:val="20"/>
        </w:rPr>
        <w:t xml:space="preserve">	</w:t>
      </w:r>
      <w:r>
        <w:rPr>
          <w:rFonts w:ascii="Arial" w:cs="Arial" w:eastAsia="Arial" w:hAnsi="Arial"/>
          <w:color w:val="475569"/>
          <w:sz w:val="20"/>
          <w:szCs w:val="20"/>
        </w:rPr>
        <w:t xml:space="preserve">33</w:t>
      </w:r>
    </w:p>
    <w:p>
      <w:r>
        <w:br w:type="page"/>
      </w:r>
    </w:p>
    <w:p>
      <w:pPr>
        <w:pStyle w:val="Heading1"/>
        <w:pBdr>
          <w:bottom w:val="single" w:color="2563EB" w:sz="4" w:space="4"/>
        </w:pBdr>
        <w:spacing w:after="240" w:before="480"/>
      </w:pPr>
      <w:r>
        <w:rPr>
          <w:rFonts w:ascii="Arial" w:cs="Arial" w:eastAsia="Arial" w:hAnsi="Arial"/>
          <w:b/>
          <w:bCs/>
          <w:color w:val="1E3A5F"/>
          <w:sz w:val="36"/>
          <w:szCs w:val="36"/>
        </w:rPr>
        <w:t xml:space="preserve">1. Introducción al Módulo de Compras</w:t>
      </w:r>
    </w:p>
    <w:p>
      <w:pPr>
        <w:pStyle w:val="Heading2"/>
        <w:spacing w:after="120" w:before="360"/>
      </w:pPr>
      <w:r>
        <w:rPr>
          <w:rFonts w:ascii="Arial" w:cs="Arial" w:eastAsia="Arial" w:hAnsi="Arial"/>
          <w:b/>
          <w:bCs/>
          <w:color w:val="2563EB"/>
          <w:sz w:val="28"/>
          <w:szCs w:val="28"/>
        </w:rPr>
        <w:t xml:space="preserve">1.1 Qué es el módulo de Compras</w:t>
      </w:r>
    </w:p>
    <w:p>
      <w:pPr>
        <w:spacing w:after="160" w:line="300"/>
      </w:pPr>
      <w:r>
        <w:rPr>
          <w:rFonts w:ascii="Arial" w:cs="Arial" w:eastAsia="Arial" w:hAnsi="Arial"/>
          <w:color w:val="1E293B"/>
          <w:sz w:val="22"/>
          <w:szCs w:val="22"/>
        </w:rPr>
        <w:t xml:space="preserve">El módulo de Compras de DOMUSONE administra el ciclo completo de adquisiciones de la organización: desde que un área solicita un producto o servicio, hasta que la mercancía llega al almacén y queda registrada en el inventario. También controla los pagos a proveedores (Órdenes de Pago y Cuentas por Pagar), los fondos de gastos menores (Caja Chica) y el resguardo de combustible.</w:t>
      </w:r>
    </w:p>
    <w:p>
      <w:pPr>
        <w:spacing w:after="160" w:line="300"/>
      </w:pPr>
      <w:r>
        <w:rPr>
          <w:rFonts w:ascii="Arial" w:cs="Arial" w:eastAsia="Arial" w:hAnsi="Arial"/>
          <w:color w:val="1E293B"/>
          <w:sz w:val="22"/>
          <w:szCs w:val="22"/>
        </w:rPr>
        <w:t xml:space="preserve">Este manual está dirigido a las personas que participan en cualquier punto de ese ciclo: quienes solicitan artículos o servicios, quienes cotizan y generan órdenes de compra, quienes reciben la mercancía en almacén, quienes autorizan documentos y quienes administran los pagos.</w:t>
      </w:r>
    </w:p>
    <w:p>
      <w:pPr>
        <w:pStyle w:val="Heading2"/>
        <w:spacing w:after="120" w:before="360"/>
      </w:pPr>
      <w:r>
        <w:rPr>
          <w:rFonts w:ascii="Arial" w:cs="Arial" w:eastAsia="Arial" w:hAnsi="Arial"/>
          <w:b/>
          <w:bCs/>
          <w:color w:val="2563EB"/>
          <w:sz w:val="28"/>
          <w:szCs w:val="28"/>
        </w:rPr>
        <w:t xml:space="preserve">1.2 El flujo Procure-to-Pay (P2P)</w:t>
      </w:r>
    </w:p>
    <w:p>
      <w:pPr>
        <w:spacing w:after="160" w:line="300"/>
      </w:pPr>
      <w:r>
        <w:rPr>
          <w:rFonts w:ascii="Arial" w:cs="Arial" w:eastAsia="Arial" w:hAnsi="Arial"/>
          <w:color w:val="1E293B"/>
          <w:sz w:val="22"/>
          <w:szCs w:val="22"/>
        </w:rPr>
        <w:t xml:space="preserve">El corazón del módulo es un flujo de compras clásico, conocido como "P2P" (Procure to Pay — de la solicitud al pago). En DOMUSONE este flujo se representa como una cadena de documentos, donde cada uno nace de (o se relaciona con) el anterior:</w:t>
      </w:r>
    </w:p>
    <w:p>
      <w:pPr>
        <w:pStyle w:val="ListParagraph"/>
        <w:numPr>
          <w:ilvl w:val="0"/>
          <w:numId w:val="2"/>
        </w:numPr>
        <w:spacing w:after="80" w:line="280"/>
      </w:pPr>
      <w:r>
        <w:rPr>
          <w:rFonts w:ascii="Arial" w:cs="Arial" w:eastAsia="Arial" w:hAnsi="Arial"/>
          <w:color w:val="1E293B"/>
          <w:sz w:val="22"/>
          <w:szCs w:val="22"/>
        </w:rPr>
        <w:t xml:space="preserve">Requisición — un área solicita productos o servicios.</w:t>
      </w:r>
    </w:p>
    <w:p>
      <w:pPr>
        <w:pStyle w:val="ListParagraph"/>
        <w:numPr>
          <w:ilvl w:val="0"/>
          <w:numId w:val="2"/>
        </w:numPr>
        <w:spacing w:after="80" w:line="280"/>
      </w:pPr>
      <w:r>
        <w:rPr>
          <w:rFonts w:ascii="Arial" w:cs="Arial" w:eastAsia="Arial" w:hAnsi="Arial"/>
          <w:color w:val="1E293B"/>
          <w:sz w:val="22"/>
          <w:szCs w:val="22"/>
        </w:rPr>
        <w:t xml:space="preserve">Autorización de la Requisición — un responsable aprueba o rechaza la solicitud.</w:t>
      </w:r>
    </w:p>
    <w:p>
      <w:pPr>
        <w:pStyle w:val="ListParagraph"/>
        <w:numPr>
          <w:ilvl w:val="0"/>
          <w:numId w:val="2"/>
        </w:numPr>
        <w:spacing w:after="80" w:line="280"/>
      </w:pPr>
      <w:r>
        <w:rPr>
          <w:rFonts w:ascii="Arial" w:cs="Arial" w:eastAsia="Arial" w:hAnsi="Arial"/>
          <w:color w:val="1E293B"/>
          <w:sz w:val="22"/>
          <w:szCs w:val="22"/>
        </w:rPr>
        <w:t xml:space="preserve">Cotización (RFQ) — se piden precios a hasta 3 proveedores y se compara.</w:t>
      </w:r>
    </w:p>
    <w:p>
      <w:pPr>
        <w:pStyle w:val="ListParagraph"/>
        <w:numPr>
          <w:ilvl w:val="0"/>
          <w:numId w:val="2"/>
        </w:numPr>
        <w:spacing w:after="80" w:line="280"/>
      </w:pPr>
      <w:r>
        <w:rPr>
          <w:rFonts w:ascii="Arial" w:cs="Arial" w:eastAsia="Arial" w:hAnsi="Arial"/>
          <w:color w:val="1E293B"/>
          <w:sz w:val="22"/>
          <w:szCs w:val="22"/>
        </w:rPr>
        <w:t xml:space="preserve">Orden de Compra (OC) — se formaliza la compra con el proveedor elegido.</w:t>
      </w:r>
    </w:p>
    <w:p>
      <w:pPr>
        <w:pStyle w:val="ListParagraph"/>
        <w:numPr>
          <w:ilvl w:val="0"/>
          <w:numId w:val="2"/>
        </w:numPr>
        <w:spacing w:after="80" w:line="280"/>
      </w:pPr>
      <w:r>
        <w:rPr>
          <w:rFonts w:ascii="Arial" w:cs="Arial" w:eastAsia="Arial" w:hAnsi="Arial"/>
          <w:color w:val="1E293B"/>
          <w:sz w:val="22"/>
          <w:szCs w:val="22"/>
        </w:rPr>
        <w:t xml:space="preserve">Autorización de la OC — un responsable aprueba o rechaza la orden.</w:t>
      </w:r>
    </w:p>
    <w:p>
      <w:pPr>
        <w:pStyle w:val="ListParagraph"/>
        <w:numPr>
          <w:ilvl w:val="0"/>
          <w:numId w:val="2"/>
        </w:numPr>
        <w:spacing w:after="80" w:line="280"/>
      </w:pPr>
      <w:r>
        <w:rPr>
          <w:rFonts w:ascii="Arial" w:cs="Arial" w:eastAsia="Arial" w:hAnsi="Arial"/>
          <w:color w:val="1E293B"/>
          <w:sz w:val="22"/>
          <w:szCs w:val="22"/>
        </w:rPr>
        <w:t xml:space="preserve">Orden de Pago (OP) — se programa el pago al proveedor.</w:t>
      </w:r>
    </w:p>
    <w:p>
      <w:pPr>
        <w:pStyle w:val="ListParagraph"/>
        <w:numPr>
          <w:ilvl w:val="0"/>
          <w:numId w:val="2"/>
        </w:numPr>
        <w:spacing w:after="80" w:line="280"/>
      </w:pPr>
      <w:r>
        <w:rPr>
          <w:rFonts w:ascii="Arial" w:cs="Arial" w:eastAsia="Arial" w:hAnsi="Arial"/>
          <w:color w:val="1E293B"/>
          <w:sz w:val="22"/>
          <w:szCs w:val="22"/>
        </w:rPr>
        <w:t xml:space="preserve">Recepción — la mercancía llega físicamente al almacén.</w:t>
      </w:r>
    </w:p>
    <w:p>
      <w:pPr>
        <w:pStyle w:val="ListParagraph"/>
        <w:numPr>
          <w:ilvl w:val="0"/>
          <w:numId w:val="2"/>
        </w:numPr>
        <w:spacing w:after="80" w:line="280"/>
      </w:pPr>
      <w:r>
        <w:rPr>
          <w:rFonts w:ascii="Arial" w:cs="Arial" w:eastAsia="Arial" w:hAnsi="Arial"/>
          <w:color w:val="1E293B"/>
          <w:sz w:val="22"/>
          <w:szCs w:val="22"/>
        </w:rPr>
        <w:t xml:space="preserve">Transferencia — si aplica, la mercancía se mueve entre almacenes.</w:t>
      </w:r>
    </w:p>
    <w:p>
      <w:pPr>
        <w:pStyle w:val="ListParagraph"/>
        <w:numPr>
          <w:ilvl w:val="0"/>
          <w:numId w:val="2"/>
        </w:numPr>
        <w:spacing w:after="80" w:line="280"/>
      </w:pPr>
      <w:r>
        <w:rPr>
          <w:rFonts w:ascii="Arial" w:cs="Arial" w:eastAsia="Arial" w:hAnsi="Arial"/>
          <w:color w:val="1E293B"/>
          <w:sz w:val="22"/>
          <w:szCs w:val="22"/>
        </w:rPr>
        <w:t xml:space="preserve">Inventario — el sistema mantiene el saldo y el historial (kardex) de cada artículo.</w:t>
      </w:r>
    </w:p>
    <w:p>
      <w:pPr>
        <w:pBdr>
          <w:top w:val="single" w:color="2563EB" w:sz="4" w:space="6"/>
          <w:bottom w:val="single" w:color="2563EB" w:sz="4" w:space="6"/>
          <w:left w:val="single" w:color="2563EB" w:sz="4" w:space="6"/>
          <w:right w:val="single" w:color="2563EB" w:sz="4" w:space="6"/>
        </w:pBdr>
        <w:shd w:fill="DBEAFE" w:color="auto" w:val="clear"/>
        <w:spacing w:after="200" w:before="120"/>
        <w:ind w:left="60" w:right="60"/>
      </w:pPr>
      <w:r>
        <w:rPr>
          <w:rFonts w:ascii="Arial" w:cs="Arial" w:eastAsia="Arial" w:hAnsi="Arial"/>
          <w:b/>
          <w:bCs/>
          <w:i/>
          <w:iCs/>
          <w:color w:val="1E3A5F"/>
          <w:sz w:val="20"/>
          <w:szCs w:val="20"/>
        </w:rPr>
        <w:t xml:space="preserve">NOTA: </w:t>
      </w:r>
      <w:r>
        <w:rPr>
          <w:rFonts w:ascii="Arial" w:cs="Arial" w:eastAsia="Arial" w:hAnsi="Arial"/>
          <w:i/>
          <w:iCs/>
          <w:color w:val="1E3A5F"/>
          <w:sz w:val="20"/>
          <w:szCs w:val="20"/>
        </w:rPr>
        <w:t xml:space="preserve">No todos los documentos son obligatorios en todos los casos. Es posible generar una Orden de Compra sin pasar por una Cotización formal, y es posible generar una Orden de Pago sin que exista una Orden de Compra (por ejemplo, para pagar un servicio o un honorario). Estas variantes se explican en los capítulos correspondientes.</w:t>
      </w:r>
    </w:p>
    <w:p>
      <w:pPr>
        <w:pStyle w:val="Heading2"/>
        <w:spacing w:after="120" w:before="360"/>
      </w:pPr>
      <w:r>
        <w:rPr>
          <w:rFonts w:ascii="Arial" w:cs="Arial" w:eastAsia="Arial" w:hAnsi="Arial"/>
          <w:b/>
          <w:bCs/>
          <w:color w:val="2563EB"/>
          <w:sz w:val="28"/>
          <w:szCs w:val="28"/>
        </w:rPr>
        <w:t xml:space="preserve">1.3 Procesos que corren en paralelo</w:t>
      </w:r>
    </w:p>
    <w:p>
      <w:pPr>
        <w:spacing w:after="160" w:line="300"/>
      </w:pPr>
      <w:r>
        <w:rPr>
          <w:rFonts w:ascii="Arial" w:cs="Arial" w:eastAsia="Arial" w:hAnsi="Arial"/>
          <w:color w:val="1E293B"/>
          <w:sz w:val="22"/>
          <w:szCs w:val="22"/>
        </w:rPr>
        <w:t xml:space="preserve">Además de la cadena de compras, el módulo incluye procesos independientes que puedes necesitar en cualquier momento:</w:t>
      </w:r>
    </w:p>
    <w:p>
      <w:pPr>
        <w:pStyle w:val="ListParagraph"/>
        <w:numPr>
          <w:ilvl w:val="0"/>
          <w:numId w:val="2"/>
        </w:numPr>
        <w:spacing w:after="80" w:line="280"/>
      </w:pPr>
      <w:r>
        <w:rPr>
          <w:rFonts w:ascii="Arial" w:cs="Arial" w:eastAsia="Arial" w:hAnsi="Arial"/>
          <w:color w:val="1E293B"/>
          <w:sz w:val="22"/>
          <w:szCs w:val="22"/>
        </w:rPr>
        <w:t xml:space="preserve">Cuentas por Pagar (CXP) — consulta de saldos pendientes con proveedores y registro de pagos y abonos.</w:t>
      </w:r>
    </w:p>
    <w:p>
      <w:pPr>
        <w:pStyle w:val="ListParagraph"/>
        <w:numPr>
          <w:ilvl w:val="0"/>
          <w:numId w:val="2"/>
        </w:numPr>
        <w:spacing w:after="80" w:line="280"/>
      </w:pPr>
      <w:r>
        <w:rPr>
          <w:rFonts w:ascii="Arial" w:cs="Arial" w:eastAsia="Arial" w:hAnsi="Arial"/>
          <w:color w:val="1E293B"/>
          <w:sz w:val="22"/>
          <w:szCs w:val="22"/>
        </w:rPr>
        <w:t xml:space="preserve">Caja Chica — fondos de efectivo asignados a un responsable y sus reembolsos de gastos menores.</w:t>
      </w:r>
    </w:p>
    <w:p>
      <w:pPr>
        <w:pStyle w:val="ListParagraph"/>
        <w:numPr>
          <w:ilvl w:val="0"/>
          <w:numId w:val="2"/>
        </w:numPr>
        <w:spacing w:after="80" w:line="280"/>
      </w:pPr>
      <w:r>
        <w:rPr>
          <w:rFonts w:ascii="Arial" w:cs="Arial" w:eastAsia="Arial" w:hAnsi="Arial"/>
          <w:color w:val="1E293B"/>
          <w:sz w:val="22"/>
          <w:szCs w:val="22"/>
        </w:rPr>
        <w:t xml:space="preserve">Combustible — kardex del resguardo físico de gasolina Magna, Premium y Diésel.</w:t>
      </w:r>
    </w:p>
    <w:p>
      <w:pPr>
        <w:pStyle w:val="ListParagraph"/>
        <w:numPr>
          <w:ilvl w:val="0"/>
          <w:numId w:val="2"/>
        </w:numPr>
        <w:spacing w:after="80" w:line="280"/>
      </w:pPr>
      <w:r>
        <w:rPr>
          <w:rFonts w:ascii="Arial" w:cs="Arial" w:eastAsia="Arial" w:hAnsi="Arial"/>
          <w:color w:val="1E293B"/>
          <w:sz w:val="22"/>
          <w:szCs w:val="22"/>
        </w:rPr>
        <w:t xml:space="preserve">Catálogos de apoyo — Proveedores, Artículos, Almacenes y Áreas Solicitantes, que alimentan a todos los documentos anteriores.</w:t>
      </w:r>
    </w:p>
    <w:p>
      <w:pPr>
        <w:pStyle w:val="Heading2"/>
        <w:spacing w:after="120" w:before="360"/>
      </w:pPr>
      <w:r>
        <w:rPr>
          <w:rFonts w:ascii="Arial" w:cs="Arial" w:eastAsia="Arial" w:hAnsi="Arial"/>
          <w:b/>
          <w:bCs/>
          <w:color w:val="2563EB"/>
          <w:sz w:val="28"/>
          <w:szCs w:val="28"/>
        </w:rPr>
        <w:t xml:space="preserve">1.4 La portada del módulo</w:t>
      </w:r>
    </w:p>
    <w:p>
      <w:pPr>
        <w:spacing w:after="160" w:line="300"/>
      </w:pPr>
      <w:r>
        <w:rPr>
          <w:rFonts w:ascii="Arial" w:cs="Arial" w:eastAsia="Arial" w:hAnsi="Arial"/>
          <w:color w:val="1E293B"/>
          <w:sz w:val="22"/>
          <w:szCs w:val="22"/>
        </w:rPr>
        <w:t xml:space="preserve">Al entrar a Compras encuentras un tablero con tres indicadores rápidos (Requisiciones activas, OC abiertas y Transferencias autorizadas), una cuadrícula de tarjetas —una por cada submódulo al que tienes acceso— y, al final, una franja visual que resume el flujo P2P completo. El contenido de la cuadrícula cambia según tu rol: ve el capítulo 2 para el detalle de qué tarjetas ve cada perfil de usuario.</w:t>
      </w:r>
    </w:p>
    <w:p>
      <w:pPr>
        <w:pBdr>
          <w:top w:val="single" w:color="CBD5E1" w:sz="2"/>
          <w:bottom w:val="single" w:color="CBD5E1" w:sz="2"/>
          <w:left w:val="single" w:color="CBD5E1" w:sz="2"/>
          <w:right w:val="single" w:color="CBD5E1" w:sz="2"/>
        </w:pBdr>
        <w:shd w:fill="EEF2F7" w:color="auto" w:val="clear"/>
        <w:spacing w:after="160" w:before="120"/>
      </w:pPr>
      <w:r>
        <w:rPr>
          <w:rFonts w:ascii="Arial" w:cs="Arial" w:eastAsia="Arial" w:hAnsi="Arial"/>
          <w:b/>
          <w:bCs/>
          <w:i/>
          <w:iCs/>
          <w:color w:val="1E3A5F"/>
          <w:sz w:val="20"/>
          <w:szCs w:val="20"/>
        </w:rPr>
        <w:t xml:space="preserve">Ruta en el sistema: </w:t>
      </w:r>
      <w:r>
        <w:rPr>
          <w:rFonts w:ascii="Arial" w:cs="Arial" w:eastAsia="Arial" w:hAnsi="Arial"/>
          <w:i/>
          <w:iCs/>
          <w:color w:val="475569"/>
          <w:sz w:val="20"/>
          <w:szCs w:val="20"/>
        </w:rPr>
        <w:t xml:space="preserve">Menú → Compras</w:t>
      </w:r>
    </w:p>
    <w:p>
      <w:r>
        <w:br w:type="page"/>
      </w:r>
    </w:p>
    <w:p>
      <w:pPr>
        <w:pStyle w:val="Heading1"/>
        <w:pBdr>
          <w:bottom w:val="single" w:color="2563EB" w:sz="4" w:space="4"/>
        </w:pBdr>
        <w:spacing w:after="240" w:before="480"/>
      </w:pPr>
      <w:r>
        <w:rPr>
          <w:rFonts w:ascii="Arial" w:cs="Arial" w:eastAsia="Arial" w:hAnsi="Arial"/>
          <w:b/>
          <w:bCs/>
          <w:color w:val="1E3A5F"/>
          <w:sz w:val="36"/>
          <w:szCs w:val="36"/>
        </w:rPr>
        <w:t xml:space="preserve">2. Roles y Permisos de Acceso</w:t>
      </w:r>
    </w:p>
    <w:p>
      <w:pPr>
        <w:pStyle w:val="Heading2"/>
        <w:spacing w:after="120" w:before="360"/>
      </w:pPr>
      <w:r>
        <w:rPr>
          <w:rFonts w:ascii="Arial" w:cs="Arial" w:eastAsia="Arial" w:hAnsi="Arial"/>
          <w:b/>
          <w:bCs/>
          <w:color w:val="2563EB"/>
          <w:sz w:val="28"/>
          <w:szCs w:val="28"/>
        </w:rPr>
        <w:t xml:space="preserve">2.1 Qué controla cada tipo de permiso</w:t>
      </w:r>
    </w:p>
    <w:p>
      <w:pPr>
        <w:spacing w:after="160" w:line="300"/>
      </w:pPr>
      <w:r>
        <w:rPr>
          <w:rFonts w:ascii="Arial" w:cs="Arial" w:eastAsia="Arial" w:hAnsi="Arial"/>
          <w:color w:val="1E293B"/>
          <w:sz w:val="22"/>
          <w:szCs w:val="22"/>
        </w:rPr>
        <w:t xml:space="preserve">El acceso al módulo de Compras se evalúa con cuatro preguntas independientes cada vez que abres una pantalla o una acción:</w:t>
      </w:r>
    </w:p>
    <w:p>
      <w:pPr>
        <w:pStyle w:val="ListParagraph"/>
        <w:numPr>
          <w:ilvl w:val="0"/>
          <w:numId w:val="2"/>
        </w:numPr>
        <w:spacing w:after="80" w:line="280"/>
      </w:pPr>
      <w:r>
        <w:rPr>
          <w:rFonts w:ascii="Arial" w:cs="Arial" w:eastAsia="Arial" w:hAnsi="Arial"/>
          <w:color w:val="1E293B"/>
          <w:sz w:val="22"/>
          <w:szCs w:val="22"/>
        </w:rPr>
        <w:t xml:space="preserve">¿Puedo VER esta pantalla o esta tarjeta del hub? — determina qué módulos aparecen en tu portada de Compras y en el menú lateral.</w:t>
      </w:r>
    </w:p>
    <w:p>
      <w:pPr>
        <w:pStyle w:val="ListParagraph"/>
        <w:numPr>
          <w:ilvl w:val="0"/>
          <w:numId w:val="2"/>
        </w:numPr>
        <w:spacing w:after="80" w:line="280"/>
      </w:pPr>
      <w:r>
        <w:rPr>
          <w:rFonts w:ascii="Arial" w:cs="Arial" w:eastAsia="Arial" w:hAnsi="Arial"/>
          <w:color w:val="1E293B"/>
          <w:sz w:val="22"/>
          <w:szCs w:val="22"/>
        </w:rPr>
        <w:t xml:space="preserve">¿Puedo CREAR o EDITAR un documento? — determina si ves los botones "Nuevo", "Editar" o "Guardar".</w:t>
      </w:r>
    </w:p>
    <w:p>
      <w:pPr>
        <w:pStyle w:val="ListParagraph"/>
        <w:numPr>
          <w:ilvl w:val="0"/>
          <w:numId w:val="2"/>
        </w:numPr>
        <w:spacing w:after="80" w:line="280"/>
      </w:pPr>
      <w:r>
        <w:rPr>
          <w:rFonts w:ascii="Arial" w:cs="Arial" w:eastAsia="Arial" w:hAnsi="Arial"/>
          <w:color w:val="1E293B"/>
          <w:sz w:val="22"/>
          <w:szCs w:val="22"/>
        </w:rPr>
        <w:t xml:space="preserve">¿Puedo AUTORIZAR documentos? — determina si ves el panel de aprobar/rechazar en Requisiciones, Órdenes de Compra, Transferencias, Órdenes de Pago sin OC y Reembolsos de Caja Chica.</w:t>
      </w:r>
    </w:p>
    <w:p>
      <w:pPr>
        <w:pStyle w:val="ListParagraph"/>
        <w:numPr>
          <w:ilvl w:val="0"/>
          <w:numId w:val="2"/>
        </w:numPr>
        <w:spacing w:after="80" w:line="280"/>
      </w:pPr>
      <w:r>
        <w:rPr>
          <w:rFonts w:ascii="Arial" w:cs="Arial" w:eastAsia="Arial" w:hAnsi="Arial"/>
          <w:color w:val="1E293B"/>
          <w:sz w:val="22"/>
          <w:szCs w:val="22"/>
        </w:rPr>
        <w:t xml:space="preserve">¿Puedo ELIMINAR registros? — solo aplica a algunos catálogos (por ejemplo Áreas Solicitantes o Almacenes).</w:t>
      </w:r>
    </w:p>
    <w:p>
      <w:pPr>
        <w:pBdr>
          <w:top w:val="single" w:color="2563EB" w:sz="4" w:space="6"/>
          <w:bottom w:val="single" w:color="2563EB" w:sz="4" w:space="6"/>
          <w:left w:val="single" w:color="2563EB" w:sz="4" w:space="6"/>
          <w:right w:val="single" w:color="2563EB" w:sz="4" w:space="6"/>
        </w:pBdr>
        <w:shd w:fill="DBEAFE" w:color="auto" w:val="clear"/>
        <w:spacing w:after="200" w:before="120"/>
        <w:ind w:left="60" w:right="60"/>
      </w:pPr>
      <w:r>
        <w:rPr>
          <w:rFonts w:ascii="Arial" w:cs="Arial" w:eastAsia="Arial" w:hAnsi="Arial"/>
          <w:b/>
          <w:bCs/>
          <w:i/>
          <w:iCs/>
          <w:color w:val="1E3A5F"/>
          <w:sz w:val="20"/>
          <w:szCs w:val="20"/>
        </w:rPr>
        <w:t xml:space="preserve">NOTA: </w:t>
      </w:r>
      <w:r>
        <w:rPr>
          <w:rFonts w:ascii="Arial" w:cs="Arial" w:eastAsia="Arial" w:hAnsi="Arial"/>
          <w:i/>
          <w:iCs/>
          <w:color w:val="1E3A5F"/>
          <w:sz w:val="20"/>
          <w:szCs w:val="20"/>
        </w:rPr>
        <w:t xml:space="preserve">Estos permisos son independientes entre sí. Es normal que un rol pueda VER un submódulo (por ejemplo Transferencias) pero no pueda CREAR documentos ahí, o que pueda crear documentos pero no autorizarlos.</w:t>
      </w:r>
    </w:p>
    <w:p>
      <w:pPr>
        <w:pStyle w:val="Heading2"/>
        <w:spacing w:after="120" w:before="360"/>
      </w:pPr>
      <w:r>
        <w:rPr>
          <w:rFonts w:ascii="Arial" w:cs="Arial" w:eastAsia="Arial" w:hAnsi="Arial"/>
          <w:b/>
          <w:bCs/>
          <w:color w:val="2563EB"/>
          <w:sz w:val="28"/>
          <w:szCs w:val="28"/>
        </w:rPr>
        <w:t xml:space="preserve">2.2 Qué ve cada rol en la portada de Compras</w:t>
      </w:r>
    </w:p>
    <w:p>
      <w:pPr>
        <w:spacing w:after="160" w:line="300"/>
      </w:pPr>
      <w:r>
        <w:rPr>
          <w:rFonts w:ascii="Arial" w:cs="Arial" w:eastAsia="Arial" w:hAnsi="Arial"/>
          <w:color w:val="1E293B"/>
          <w:sz w:val="22"/>
          <w:szCs w:val="22"/>
        </w:rPr>
        <w:t xml:space="preserve">La siguiente tabla resume, para cada rol que tiene algún tipo de acceso a Compras, qué tarjetas ve en la portada del módulo.</w:t>
      </w:r>
    </w:p>
    <w:tbl>
      <w:tblPr>
        <w:tblW w:type="dxa" w:w="8400"/>
        <w:tblBorders>
          <w:top w:val="single" w:color="CBD5E1" w:sz="2"/>
          <w:left w:val="single" w:color="CBD5E1" w:sz="2"/>
          <w:bottom w:val="single" w:color="CBD5E1" w:sz="2"/>
          <w:right w:val="single" w:color="CBD5E1" w:sz="2"/>
          <w:insideH w:val="single" w:color="E2E8F0" w:sz="2"/>
          <w:insideV w:val="single" w:color="E2E8F0" w:sz="2"/>
        </w:tblBorders>
      </w:tblPr>
      <w:tblGrid>
        <w:gridCol w:w="2100"/>
        <w:gridCol w:w="6300"/>
      </w:tblGrid>
      <w:tr>
        <w:trPr>
          <w:cantSplit/>
          <w:tblHeader/>
        </w:trPr>
        <w:tc>
          <w:tcPr>
            <w:tcW w:type="dxa" w:w="2100"/>
            <w:shd w:fill="1E3A5F" w:color="auto" w:val="clear"/>
            <w:tcMar>
              <w:top w:type="dxa" w:w="60"/>
              <w:left w:type="dxa" w:w="100"/>
              <w:bottom w:type="dxa" w:w="60"/>
              <w:right w:type="dxa" w:w="100"/>
            </w:tcMar>
            <w:vAlign w:val="center"/>
          </w:tcPr>
          <w:p>
            <w:pPr>
              <w:spacing w:after="40" w:before="40"/>
            </w:pPr>
            <w:r>
              <w:rPr>
                <w:rFonts w:ascii="Arial" w:cs="Arial" w:eastAsia="Arial" w:hAnsi="Arial"/>
                <w:b/>
                <w:bCs/>
                <w:i w:val="false"/>
                <w:iCs w:val="false"/>
                <w:color w:val="FFFFFF"/>
                <w:sz w:val="19"/>
                <w:szCs w:val="19"/>
              </w:rPr>
              <w:t xml:space="preserve">Rol</w:t>
            </w:r>
          </w:p>
        </w:tc>
        <w:tc>
          <w:tcPr>
            <w:tcW w:type="dxa" w:w="6300"/>
            <w:shd w:fill="1E3A5F" w:color="auto" w:val="clear"/>
            <w:tcMar>
              <w:top w:type="dxa" w:w="60"/>
              <w:left w:type="dxa" w:w="100"/>
              <w:bottom w:type="dxa" w:w="60"/>
              <w:right w:type="dxa" w:w="100"/>
            </w:tcMar>
            <w:vAlign w:val="center"/>
          </w:tcPr>
          <w:p>
            <w:pPr>
              <w:spacing w:after="40" w:before="40"/>
            </w:pPr>
            <w:r>
              <w:rPr>
                <w:rFonts w:ascii="Arial" w:cs="Arial" w:eastAsia="Arial" w:hAnsi="Arial"/>
                <w:b/>
                <w:bCs/>
                <w:i w:val="false"/>
                <w:iCs w:val="false"/>
                <w:color w:val="FFFFFF"/>
                <w:sz w:val="19"/>
                <w:szCs w:val="19"/>
              </w:rPr>
              <w:t xml:space="preserve">Acceso en el hub de Compras</w:t>
            </w:r>
          </w:p>
        </w:tc>
      </w:tr>
      <w:tr>
        <w:trPr>
          <w:cantSplit/>
        </w:trPr>
        <w:tc>
          <w:tcPr>
            <w:tcW w:type="dxa" w:w="21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Superadmin</w:t>
            </w:r>
          </w:p>
        </w:tc>
        <w:tc>
          <w:tcPr>
            <w:tcW w:type="dxa" w:w="63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Acceso total al sistema, incluye todas las tarjetas de Compras, escritura y eliminación.</w:t>
            </w:r>
          </w:p>
        </w:tc>
      </w:tr>
      <w:tr>
        <w:trPr>
          <w:cantSplit/>
        </w:trPr>
        <w:tc>
          <w:tcPr>
            <w:tcW w:type="dxa" w:w="21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Administrador / Fraccionamiento / Administrador (Op.) / Administrador (Mant.) / Admin. Organismo</w:t>
            </w:r>
          </w:p>
        </w:tc>
        <w:tc>
          <w:tcPr>
            <w:tcW w:type="dxa" w:w="63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Ven y pueden crear/editar en todas las tarjetas del hub de Compras.</w:t>
            </w:r>
          </w:p>
        </w:tc>
      </w:tr>
      <w:tr>
        <w:trPr>
          <w:cantSplit/>
        </w:trPr>
        <w:tc>
          <w:tcPr>
            <w:tcW w:type="dxa" w:w="21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Admin Solo Lectura</w:t>
            </w:r>
          </w:p>
        </w:tc>
        <w:tc>
          <w:tcPr>
            <w:tcW w:type="dxa" w:w="63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Ve todas las tarjetas del hub, igual que Administrador, pero sin botones de Nuevo/Editar/Eliminar ni panel de autorización.</w:t>
            </w:r>
          </w:p>
        </w:tc>
      </w:tr>
      <w:tr>
        <w:trPr>
          <w:cantSplit/>
        </w:trPr>
        <w:tc>
          <w:tcPr>
            <w:tcW w:type="dxa" w:w="21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Compras</w:t>
            </w:r>
          </w:p>
        </w:tc>
        <w:tc>
          <w:tcPr>
            <w:tcW w:type="dxa" w:w="63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Ve todas las tarjetas del hub de Compras (incluida Recepciones, Transferencias, Almacenes, Áreas e Inventario), pero solo puede crear/editar en Requisiciones, Cotizaciones, Órdenes de Compra, Órdenes de Pago, Proveedores y Artículos (ver nota debajo de la tabla).</w:t>
            </w:r>
          </w:p>
        </w:tc>
      </w:tr>
      <w:tr>
        <w:trPr>
          <w:cantSplit/>
        </w:trPr>
        <w:tc>
          <w:tcPr>
            <w:tcW w:type="dxa" w:w="21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Supervisor de Compras</w:t>
            </w:r>
          </w:p>
        </w:tc>
        <w:tc>
          <w:tcPr>
            <w:tcW w:type="dxa" w:w="63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Igual que el rol Compras, y además puede autorizar Órdenes de Pago sin OC, despachar Transferencias y administrar Fondos de Caja Chica.</w:t>
            </w:r>
          </w:p>
        </w:tc>
      </w:tr>
      <w:tr>
        <w:trPr>
          <w:cantSplit/>
        </w:trPr>
        <w:tc>
          <w:tcPr>
            <w:tcW w:type="dxa" w:w="21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Almacén</w:t>
            </w:r>
          </w:p>
        </w:tc>
        <w:tc>
          <w:tcPr>
            <w:tcW w:type="dxa" w:w="63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Solo ve: Recepción, Transferencias, Inventario, Artículos, Almacenes, Caja Chica y Combustible.</w:t>
            </w:r>
          </w:p>
        </w:tc>
      </w:tr>
      <w:tr>
        <w:trPr>
          <w:cantSplit/>
        </w:trPr>
        <w:tc>
          <w:tcPr>
            <w:tcW w:type="dxa" w:w="21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Seguridad</w:t>
            </w:r>
          </w:p>
        </w:tc>
        <w:tc>
          <w:tcPr>
            <w:tcW w:type="dxa" w:w="63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Solo ve: Requisiciones, Transferencias y Caja Chica.</w:t>
            </w:r>
          </w:p>
        </w:tc>
      </w:tr>
      <w:tr>
        <w:trPr>
          <w:cantSplit/>
        </w:trPr>
        <w:tc>
          <w:tcPr>
            <w:tcW w:type="dxa" w:w="21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Solicitante</w:t>
            </w:r>
          </w:p>
        </w:tc>
        <w:tc>
          <w:tcPr>
            <w:tcW w:type="dxa" w:w="63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Solo ve: Requisiciones y Transferencias (sin catálogos, sin autorización).</w:t>
            </w:r>
          </w:p>
        </w:tc>
      </w:tr>
      <w:tr>
        <w:trPr>
          <w:cantSplit/>
        </w:trPr>
        <w:tc>
          <w:tcPr>
            <w:tcW w:type="dxa" w:w="21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Operador Golf / Operador Hípico / Operador Hospitality</w:t>
            </w:r>
          </w:p>
        </w:tc>
        <w:tc>
          <w:tcPr>
            <w:tcW w:type="dxa" w:w="63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Dentro de Compras solo ven: Requisiciones y Transferencias, como apoyo a su operación diaria.</w:t>
            </w:r>
          </w:p>
        </w:tc>
      </w:tr>
      <w:tr>
        <w:trPr>
          <w:cantSplit/>
        </w:trPr>
        <w:tc>
          <w:tcPr>
            <w:tcW w:type="dxa" w:w="21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Nómina</w:t>
            </w:r>
          </w:p>
        </w:tc>
        <w:tc>
          <w:tcPr>
            <w:tcW w:type="dxa" w:w="63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Solo ve: Órdenes de Pago.</w:t>
            </w:r>
          </w:p>
        </w:tc>
      </w:tr>
      <w:tr>
        <w:trPr>
          <w:cantSplit/>
        </w:trPr>
        <w:tc>
          <w:tcPr>
            <w:tcW w:type="dxa" w:w="21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Cualquier otro rol con sesión activa</w:t>
            </w:r>
          </w:p>
        </w:tc>
        <w:tc>
          <w:tcPr>
            <w:tcW w:type="dxa" w:w="63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Puede abrir la tarjeta Caja Chica para registrar sus propios reembolsos, aunque no tenga otro acceso a Compras.</w:t>
            </w:r>
          </w:p>
        </w:tc>
      </w:tr>
    </w:tbl>
    <w:p>
      <w:pPr>
        <w:pBdr>
          <w:top w:val="single" w:color="2563EB" w:sz="4" w:space="6"/>
          <w:bottom w:val="single" w:color="2563EB" w:sz="4" w:space="6"/>
          <w:left w:val="single" w:color="2563EB" w:sz="4" w:space="6"/>
          <w:right w:val="single" w:color="2563EB" w:sz="4" w:space="6"/>
        </w:pBdr>
        <w:shd w:fill="DBEAFE" w:color="auto" w:val="clear"/>
        <w:spacing w:after="200" w:before="120"/>
        <w:ind w:left="60" w:right="60"/>
      </w:pPr>
      <w:r>
        <w:rPr>
          <w:rFonts w:ascii="Arial" w:cs="Arial" w:eastAsia="Arial" w:hAnsi="Arial"/>
          <w:b/>
          <w:bCs/>
          <w:i/>
          <w:iCs/>
          <w:color w:val="1E3A5F"/>
          <w:sz w:val="20"/>
          <w:szCs w:val="20"/>
        </w:rPr>
        <w:t xml:space="preserve">NOTA: </w:t>
      </w:r>
      <w:r>
        <w:rPr>
          <w:rFonts w:ascii="Arial" w:cs="Arial" w:eastAsia="Arial" w:hAnsi="Arial"/>
          <w:i/>
          <w:iCs/>
          <w:color w:val="1E3A5F"/>
          <w:sz w:val="20"/>
          <w:szCs w:val="20"/>
        </w:rPr>
        <w:t xml:space="preserve">El rol Compras puede ABRIR las pantallas de Recepciones, Transferencias, Almacenes, Áreas e Inventario para consultarlas, pero no verá ahí los botones de captura (salvo en Recepciones, donde el botón "Nueva Recepción" está disponible para cualquiera que pueda entrar a esa pantalla — ver capítulo 6).</w:t>
      </w:r>
    </w:p>
    <w:p>
      <w:pPr>
        <w:pStyle w:val="Heading2"/>
        <w:spacing w:after="120" w:before="360"/>
      </w:pPr>
      <w:r>
        <w:rPr>
          <w:rFonts w:ascii="Arial" w:cs="Arial" w:eastAsia="Arial" w:hAnsi="Arial"/>
          <w:b/>
          <w:bCs/>
          <w:color w:val="2563EB"/>
          <w:sz w:val="28"/>
          <w:szCs w:val="28"/>
        </w:rPr>
        <w:t xml:space="preserve">2.3 Quién autoriza y quién elimina</w:t>
      </w:r>
    </w:p>
    <w:p>
      <w:pPr>
        <w:spacing w:after="160" w:line="300"/>
      </w:pPr>
      <w:r>
        <w:rPr>
          <w:rFonts w:ascii="Arial" w:cs="Arial" w:eastAsia="Arial" w:hAnsi="Arial"/>
          <w:color w:val="1E293B"/>
          <w:sz w:val="22"/>
          <w:szCs w:val="22"/>
        </w:rPr>
        <w:t xml:space="preserve">La autorización de documentos (aprobar o rechazar) es un permiso aparte de la creación. Los roles que pueden autorizar Requisiciones, Órdenes de Compra y Transferencias son:</w:t>
      </w:r>
    </w:p>
    <w:p>
      <w:pPr>
        <w:pStyle w:val="ListParagraph"/>
        <w:numPr>
          <w:ilvl w:val="0"/>
          <w:numId w:val="2"/>
        </w:numPr>
        <w:spacing w:after="80" w:line="280"/>
      </w:pPr>
      <w:r>
        <w:rPr>
          <w:rFonts w:ascii="Arial" w:cs="Arial" w:eastAsia="Arial" w:hAnsi="Arial"/>
          <w:color w:val="1E293B"/>
          <w:sz w:val="22"/>
          <w:szCs w:val="22"/>
        </w:rPr>
        <w:t xml:space="preserve">Superadmin, Administrador, Administrador (Op.), Administrador (Mant.), Compras, Supervisor de Compras, Fraccionamiento, Tesorería y Admin. Organismo.</w:t>
      </w:r>
    </w:p>
    <w:p>
      <w:pPr>
        <w:spacing w:after="160" w:line="300"/>
      </w:pPr>
      <w:r>
        <w:rPr>
          <w:rFonts w:ascii="Arial" w:cs="Arial" w:eastAsia="Arial" w:hAnsi="Arial"/>
          <w:color w:val="1E293B"/>
          <w:sz w:val="22"/>
          <w:szCs w:val="22"/>
        </w:rPr>
        <w:t xml:space="preserve">La autorización de Órdenes de Pago sin Orden de Compra (gasto directo) usa una lista más corta, porque involucra la salida directa de dinero sin haber pasado por el resto de la cadena de aprobaciones:</w:t>
      </w:r>
    </w:p>
    <w:p>
      <w:pPr>
        <w:pStyle w:val="ListParagraph"/>
        <w:numPr>
          <w:ilvl w:val="0"/>
          <w:numId w:val="2"/>
        </w:numPr>
        <w:spacing w:after="80" w:line="280"/>
      </w:pPr>
      <w:r>
        <w:rPr>
          <w:rFonts w:ascii="Arial" w:cs="Arial" w:eastAsia="Arial" w:hAnsi="Arial"/>
          <w:color w:val="1E293B"/>
          <w:sz w:val="22"/>
          <w:szCs w:val="22"/>
        </w:rPr>
        <w:t xml:space="preserve">Superadmin, Administrador, Supervisor de Compras y Fraccionamiento.</w:t>
      </w:r>
    </w:p>
    <w:p>
      <w:pPr>
        <w:spacing w:after="160" w:line="300"/>
      </w:pPr>
      <w:r>
        <w:rPr>
          <w:rFonts w:ascii="Arial" w:cs="Arial" w:eastAsia="Arial" w:hAnsi="Arial"/>
          <w:color w:val="1E293B"/>
          <w:sz w:val="22"/>
          <w:szCs w:val="22"/>
        </w:rPr>
        <w:t xml:space="preserve">La eliminación de registros (por ejemplo, borrar un Área Solicitante) está reservada a:</w:t>
      </w:r>
    </w:p>
    <w:p>
      <w:pPr>
        <w:pStyle w:val="ListParagraph"/>
        <w:numPr>
          <w:ilvl w:val="0"/>
          <w:numId w:val="2"/>
        </w:numPr>
        <w:spacing w:after="80" w:line="280"/>
      </w:pPr>
      <w:r>
        <w:rPr>
          <w:rFonts w:ascii="Arial" w:cs="Arial" w:eastAsia="Arial" w:hAnsi="Arial"/>
          <w:color w:val="1E293B"/>
          <w:sz w:val="22"/>
          <w:szCs w:val="22"/>
        </w:rPr>
        <w:t xml:space="preserve">Superadmin, Administrador y Admin. Organismo.</w:t>
      </w:r>
    </w:p>
    <w:p>
      <w:pPr>
        <w:pStyle w:val="Heading2"/>
        <w:spacing w:after="120" w:before="360"/>
      </w:pPr>
      <w:r>
        <w:rPr>
          <w:rFonts w:ascii="Arial" w:cs="Arial" w:eastAsia="Arial" w:hAnsi="Arial"/>
          <w:b/>
          <w:bCs/>
          <w:color w:val="2563EB"/>
          <w:sz w:val="28"/>
          <w:szCs w:val="28"/>
        </w:rPr>
        <w:t xml:space="preserve">2.4 Restricciones adicionales configurables</w:t>
      </w:r>
    </w:p>
    <w:p>
      <w:pPr>
        <w:spacing w:after="160" w:line="300"/>
      </w:pPr>
      <w:r>
        <w:rPr>
          <w:rFonts w:ascii="Arial" w:cs="Arial" w:eastAsia="Arial" w:hAnsi="Arial"/>
          <w:color w:val="1E293B"/>
          <w:sz w:val="22"/>
          <w:szCs w:val="22"/>
        </w:rPr>
        <w:t xml:space="preserve">Además de los permisos anteriores, el administrador del sistema puede configurar, por rol, qué Tipos de Gasto puede ver o capturar cada usuario en las Órdenes de Pago sin OC (por ejemplo, limitar a un rol a únicamente "Combustible" o "Mantenimiento"), y si ese rol solo puede ver las Órdenes de Pago que él mismo creó. Si notas que no puedes elegir cierto Tipo de Gasto, o que solo ves tus propias Órdenes de Pago, es probable que tu rol tenga esta restricción configurada — consulta a tu administrador.</w:t>
      </w:r>
    </w:p>
    <w:p>
      <w:r>
        <w:br w:type="page"/>
      </w:r>
    </w:p>
    <w:p>
      <w:pPr>
        <w:pStyle w:val="Heading1"/>
        <w:pBdr>
          <w:bottom w:val="single" w:color="2563EB" w:sz="4" w:space="4"/>
        </w:pBdr>
        <w:spacing w:after="240" w:before="480"/>
      </w:pPr>
      <w:r>
        <w:rPr>
          <w:rFonts w:ascii="Arial" w:cs="Arial" w:eastAsia="Arial" w:hAnsi="Arial"/>
          <w:b/>
          <w:bCs/>
          <w:color w:val="1E3A5F"/>
          <w:sz w:val="36"/>
          <w:szCs w:val="36"/>
        </w:rPr>
        <w:t xml:space="preserve">3. Requisiciones</w:t>
      </w:r>
    </w:p>
    <w:p>
      <w:pPr>
        <w:spacing w:after="160" w:line="300"/>
      </w:pPr>
      <w:r>
        <w:rPr>
          <w:rFonts w:ascii="Arial" w:cs="Arial" w:eastAsia="Arial" w:hAnsi="Arial"/>
          <w:color w:val="1E293B"/>
          <w:sz w:val="22"/>
          <w:szCs w:val="22"/>
        </w:rPr>
        <w:t xml:space="preserve">La Requisición es el punto de partida de toda compra: el documento con el que un área solicita productos o servicios. Toda la cadena posterior (Cotización, Orden de Compra, Recepción) puede rastrearse hasta la Requisición que le dio origen.</w:t>
      </w:r>
    </w:p>
    <w:p>
      <w:pPr>
        <w:pStyle w:val="Heading2"/>
        <w:spacing w:after="120" w:before="360"/>
      </w:pPr>
      <w:r>
        <w:rPr>
          <w:rFonts w:ascii="Arial" w:cs="Arial" w:eastAsia="Arial" w:hAnsi="Arial"/>
          <w:b/>
          <w:bCs/>
          <w:color w:val="2563EB"/>
          <w:sz w:val="28"/>
          <w:szCs w:val="28"/>
        </w:rPr>
        <w:t xml:space="preserve">3.1 Estatus de una Requisición</w:t>
      </w:r>
    </w:p>
    <w:tbl>
      <w:tblPr>
        <w:tblW w:type="dxa" w:w="8400"/>
        <w:tblBorders>
          <w:top w:val="single" w:color="CBD5E1" w:sz="2"/>
          <w:left w:val="single" w:color="CBD5E1" w:sz="2"/>
          <w:bottom w:val="single" w:color="CBD5E1" w:sz="2"/>
          <w:right w:val="single" w:color="CBD5E1" w:sz="2"/>
          <w:insideH w:val="single" w:color="E2E8F0" w:sz="2"/>
          <w:insideV w:val="single" w:color="E2E8F0" w:sz="2"/>
        </w:tblBorders>
      </w:tblPr>
      <w:tblGrid>
        <w:gridCol w:w="2200"/>
        <w:gridCol w:w="6200"/>
      </w:tblGrid>
      <w:tr>
        <w:trPr>
          <w:cantSplit/>
          <w:tblHeader/>
        </w:trPr>
        <w:tc>
          <w:tcPr>
            <w:tcW w:type="dxa" w:w="2200"/>
            <w:shd w:fill="1E3A5F" w:color="auto" w:val="clear"/>
            <w:tcMar>
              <w:top w:type="dxa" w:w="60"/>
              <w:left w:type="dxa" w:w="100"/>
              <w:bottom w:type="dxa" w:w="60"/>
              <w:right w:type="dxa" w:w="100"/>
            </w:tcMar>
            <w:vAlign w:val="center"/>
          </w:tcPr>
          <w:p>
            <w:pPr>
              <w:spacing w:after="40" w:before="40"/>
            </w:pPr>
            <w:r>
              <w:rPr>
                <w:rFonts w:ascii="Arial" w:cs="Arial" w:eastAsia="Arial" w:hAnsi="Arial"/>
                <w:b/>
                <w:bCs/>
                <w:i w:val="false"/>
                <w:iCs w:val="false"/>
                <w:color w:val="FFFFFF"/>
                <w:sz w:val="19"/>
                <w:szCs w:val="19"/>
              </w:rPr>
              <w:t xml:space="preserve">Estatus</w:t>
            </w:r>
          </w:p>
        </w:tc>
        <w:tc>
          <w:tcPr>
            <w:tcW w:type="dxa" w:w="6200"/>
            <w:shd w:fill="1E3A5F" w:color="auto" w:val="clear"/>
            <w:tcMar>
              <w:top w:type="dxa" w:w="60"/>
              <w:left w:type="dxa" w:w="100"/>
              <w:bottom w:type="dxa" w:w="60"/>
              <w:right w:type="dxa" w:w="100"/>
            </w:tcMar>
            <w:vAlign w:val="center"/>
          </w:tcPr>
          <w:p>
            <w:pPr>
              <w:spacing w:after="40" w:before="40"/>
            </w:pPr>
            <w:r>
              <w:rPr>
                <w:rFonts w:ascii="Arial" w:cs="Arial" w:eastAsia="Arial" w:hAnsi="Arial"/>
                <w:b/>
                <w:bCs/>
                <w:i w:val="false"/>
                <w:iCs w:val="false"/>
                <w:color w:val="FFFFFF"/>
                <w:sz w:val="19"/>
                <w:szCs w:val="19"/>
              </w:rPr>
              <w:t xml:space="preserve">Significado</w:t>
            </w:r>
          </w:p>
        </w:tc>
      </w:tr>
      <w:tr>
        <w:trPr>
          <w:cantSplit/>
        </w:trPr>
        <w:tc>
          <w:tcPr>
            <w:tcW w:type="dxa" w:w="22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Borrador</w:t>
            </w:r>
          </w:p>
        </w:tc>
        <w:tc>
          <w:tcPr>
            <w:tcW w:type="dxa" w:w="62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Se está capturando. Solo el creador (o un Administrador pleno) puede editarla. Aún no se envía a autorizar.</w:t>
            </w:r>
          </w:p>
        </w:tc>
      </w:tr>
      <w:tr>
        <w:trPr>
          <w:cantSplit/>
        </w:trPr>
        <w:tc>
          <w:tcPr>
            <w:tcW w:type="dxa" w:w="22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Enviada</w:t>
            </w:r>
          </w:p>
        </w:tc>
        <w:tc>
          <w:tcPr>
            <w:tcW w:type="dxa" w:w="62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El solicitante confirmó los datos y la envió a revisión. Aparece en el panel de autorización de quien tenga ese permiso.</w:t>
            </w:r>
          </w:p>
        </w:tc>
      </w:tr>
      <w:tr>
        <w:trPr>
          <w:cantSplit/>
        </w:trPr>
        <w:tc>
          <w:tcPr>
            <w:tcW w:type="dxa" w:w="22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Aprobada</w:t>
            </w:r>
          </w:p>
        </w:tc>
        <w:tc>
          <w:tcPr>
            <w:tcW w:type="dxa" w:w="62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Fue autorizada. A partir de aquí puede usarse para generar una Cotización (RFQ).</w:t>
            </w:r>
          </w:p>
        </w:tc>
      </w:tr>
      <w:tr>
        <w:trPr>
          <w:cantSplit/>
        </w:trPr>
        <w:tc>
          <w:tcPr>
            <w:tcW w:type="dxa" w:w="22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Rechazada</w:t>
            </w:r>
          </w:p>
        </w:tc>
        <w:tc>
          <w:tcPr>
            <w:tcW w:type="dxa" w:w="62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El autorizador la rechazó; puede incluir un comentario con el motivo.</w:t>
            </w:r>
          </w:p>
        </w:tc>
      </w:tr>
      <w:tr>
        <w:trPr>
          <w:cantSplit/>
        </w:trPr>
        <w:tc>
          <w:tcPr>
            <w:tcW w:type="dxa" w:w="22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En Proceso</w:t>
            </w:r>
          </w:p>
        </w:tc>
        <w:tc>
          <w:tcPr>
            <w:tcW w:type="dxa" w:w="62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Estatus disponible como filtro para requisiciones que ya están en trámite de compra.</w:t>
            </w:r>
          </w:p>
        </w:tc>
      </w:tr>
      <w:tr>
        <w:trPr>
          <w:cantSplit/>
        </w:trPr>
        <w:tc>
          <w:tcPr>
            <w:tcW w:type="dxa" w:w="22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Cerrada</w:t>
            </w:r>
          </w:p>
        </w:tc>
        <w:tc>
          <w:tcPr>
            <w:tcW w:type="dxa" w:w="62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Estatus disponible como filtro para requisiciones concluidas.</w:t>
            </w:r>
          </w:p>
        </w:tc>
      </w:tr>
      <w:tr>
        <w:trPr>
          <w:cantSplit/>
        </w:trPr>
        <w:tc>
          <w:tcPr>
            <w:tcW w:type="dxa" w:w="22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Completada</w:t>
            </w:r>
          </w:p>
        </w:tc>
        <w:tc>
          <w:tcPr>
            <w:tcW w:type="dxa" w:w="62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El sistema la marca así automáticamente cuando la Orden de Compra que se generó a partir de ella se cierra por recepción total de la mercancía. No se selecciona manualmente.</w:t>
            </w:r>
          </w:p>
        </w:tc>
      </w:tr>
    </w:tbl>
    <w:p>
      <w:pPr>
        <w:pStyle w:val="Heading2"/>
        <w:spacing w:after="120" w:before="360"/>
      </w:pPr>
      <w:r>
        <w:rPr>
          <w:rFonts w:ascii="Arial" w:cs="Arial" w:eastAsia="Arial" w:hAnsi="Arial"/>
          <w:b/>
          <w:bCs/>
          <w:color w:val="2563EB"/>
          <w:sz w:val="28"/>
          <w:szCs w:val="28"/>
        </w:rPr>
        <w:t xml:space="preserve">3.2 Crear una requisición</w:t>
      </w:r>
    </w:p>
    <w:p>
      <w:pPr>
        <w:pBdr>
          <w:top w:val="single" w:color="CBD5E1" w:sz="2"/>
          <w:bottom w:val="single" w:color="CBD5E1" w:sz="2"/>
          <w:left w:val="single" w:color="CBD5E1" w:sz="2"/>
          <w:right w:val="single" w:color="CBD5E1" w:sz="2"/>
        </w:pBdr>
        <w:shd w:fill="EEF2F7" w:color="auto" w:val="clear"/>
        <w:spacing w:after="160" w:before="120"/>
      </w:pPr>
      <w:r>
        <w:rPr>
          <w:rFonts w:ascii="Arial" w:cs="Arial" w:eastAsia="Arial" w:hAnsi="Arial"/>
          <w:b/>
          <w:bCs/>
          <w:i/>
          <w:iCs/>
          <w:color w:val="1E3A5F"/>
          <w:sz w:val="20"/>
          <w:szCs w:val="20"/>
        </w:rPr>
        <w:t xml:space="preserve">Ruta en el sistema: </w:t>
      </w:r>
      <w:r>
        <w:rPr>
          <w:rFonts w:ascii="Arial" w:cs="Arial" w:eastAsia="Arial" w:hAnsi="Arial"/>
          <w:i/>
          <w:iCs/>
          <w:color w:val="475569"/>
          <w:sz w:val="20"/>
          <w:szCs w:val="20"/>
        </w:rPr>
        <w:t xml:space="preserve">Compras → Requisiciones → Nueva Requisición</w:t>
      </w:r>
    </w:p>
    <w:p>
      <w:pPr>
        <w:pStyle w:val="ListParagraph"/>
        <w:numPr>
          <w:ilvl w:val="0"/>
          <w:numId w:val="3"/>
        </w:numPr>
        <w:spacing w:after="100" w:line="280"/>
      </w:pPr>
      <w:r>
        <w:rPr>
          <w:rFonts w:ascii="Arial" w:cs="Arial" w:eastAsia="Arial" w:hAnsi="Arial"/>
          <w:color w:val="1E293B"/>
          <w:sz w:val="22"/>
          <w:szCs w:val="22"/>
        </w:rPr>
        <w:t xml:space="preserve">Elige el Área Solicitante (catálogo de áreas internas — ver capítulo 11.3 sobre la diferencia entre esta Área y el Centro de Costo).</w:t>
      </w:r>
    </w:p>
    <w:p>
      <w:pPr>
        <w:pStyle w:val="ListParagraph"/>
        <w:numPr>
          <w:ilvl w:val="0"/>
          <w:numId w:val="3"/>
        </w:numPr>
        <w:spacing w:after="100" w:line="280"/>
      </w:pPr>
      <w:r>
        <w:rPr>
          <w:rFonts w:ascii="Arial" w:cs="Arial" w:eastAsia="Arial" w:hAnsi="Arial"/>
          <w:color w:val="1E293B"/>
          <w:sz w:val="22"/>
          <w:szCs w:val="22"/>
        </w:rPr>
        <w:t xml:space="preserve">Confirma o corrige el nombre del Solicitante (se precarga con tu nombre de usuario).</w:t>
      </w:r>
    </w:p>
    <w:p>
      <w:pPr>
        <w:pStyle w:val="ListParagraph"/>
        <w:numPr>
          <w:ilvl w:val="0"/>
          <w:numId w:val="3"/>
        </w:numPr>
        <w:spacing w:after="100" w:line="280"/>
      </w:pPr>
      <w:r>
        <w:rPr>
          <w:rFonts w:ascii="Arial" w:cs="Arial" w:eastAsia="Arial" w:hAnsi="Arial"/>
          <w:color w:val="1E293B"/>
          <w:sz w:val="22"/>
          <w:szCs w:val="22"/>
        </w:rPr>
        <w:t xml:space="preserve">Indica la Fecha Requerida si aplica.</w:t>
      </w:r>
    </w:p>
    <w:p>
      <w:pPr>
        <w:pStyle w:val="ListParagraph"/>
        <w:numPr>
          <w:ilvl w:val="0"/>
          <w:numId w:val="3"/>
        </w:numPr>
        <w:spacing w:after="100" w:line="280"/>
      </w:pPr>
      <w:r>
        <w:rPr>
          <w:rFonts w:ascii="Arial" w:cs="Arial" w:eastAsia="Arial" w:hAnsi="Arial"/>
          <w:color w:val="1E293B"/>
          <w:sz w:val="22"/>
          <w:szCs w:val="22"/>
        </w:rPr>
        <w:t xml:space="preserve">Elige el Centro de Costo, el Área (dependiente del Centro de Costo elegido) y, si corresponde, el Frente. Estos tres campos son la clasificación contable/presupuestal del gasto.</w:t>
      </w:r>
    </w:p>
    <w:p>
      <w:pPr>
        <w:pStyle w:val="ListParagraph"/>
        <w:numPr>
          <w:ilvl w:val="0"/>
          <w:numId w:val="3"/>
        </w:numPr>
        <w:spacing w:after="100" w:line="280"/>
      </w:pPr>
      <w:r>
        <w:rPr>
          <w:rFonts w:ascii="Arial" w:cs="Arial" w:eastAsia="Arial" w:hAnsi="Arial"/>
          <w:color w:val="1E293B"/>
          <w:sz w:val="22"/>
          <w:szCs w:val="22"/>
        </w:rPr>
        <w:t xml:space="preserve">Elige la Prioridad: Normal, Urgente o Crítica.</w:t>
      </w:r>
    </w:p>
    <w:p>
      <w:pPr>
        <w:pStyle w:val="ListParagraph"/>
        <w:numPr>
          <w:ilvl w:val="0"/>
          <w:numId w:val="3"/>
        </w:numPr>
        <w:spacing w:after="100" w:line="280"/>
      </w:pPr>
      <w:r>
        <w:rPr>
          <w:rFonts w:ascii="Arial" w:cs="Arial" w:eastAsia="Arial" w:hAnsi="Arial"/>
          <w:color w:val="1E293B"/>
          <w:sz w:val="22"/>
          <w:szCs w:val="22"/>
        </w:rPr>
        <w:t xml:space="preserve">Escribe la Justificación de la compra (opcional pero recomendable).</w:t>
      </w:r>
    </w:p>
    <w:p>
      <w:pPr>
        <w:pStyle w:val="ListParagraph"/>
        <w:numPr>
          <w:ilvl w:val="0"/>
          <w:numId w:val="3"/>
        </w:numPr>
        <w:spacing w:after="100" w:line="280"/>
      </w:pPr>
      <w:r>
        <w:rPr>
          <w:rFonts w:ascii="Arial" w:cs="Arial" w:eastAsia="Arial" w:hAnsi="Arial"/>
          <w:color w:val="1E293B"/>
          <w:sz w:val="22"/>
          <w:szCs w:val="22"/>
        </w:rPr>
        <w:t xml:space="preserve">En la sección "Productos Solicitados", agrega una línea por cada artículo: búscalo por clave o nombre en el catálogo (si existe) o describe el producto/servicio libremente, indica Cantidad, Unidad y Notas. Usa "Agregar producto" para más líneas.</w:t>
      </w:r>
    </w:p>
    <w:p>
      <w:pPr>
        <w:pStyle w:val="ListParagraph"/>
        <w:numPr>
          <w:ilvl w:val="0"/>
          <w:numId w:val="3"/>
        </w:numPr>
        <w:spacing w:after="100" w:line="280"/>
      </w:pPr>
      <w:r>
        <w:rPr>
          <w:rFonts w:ascii="Arial" w:cs="Arial" w:eastAsia="Arial" w:hAnsi="Arial"/>
          <w:color w:val="1E293B"/>
          <w:sz w:val="22"/>
          <w:szCs w:val="22"/>
        </w:rPr>
        <w:t xml:space="preserve">Guarda como Borrador si aún falta información, o presiona "Enviar para Autorización" para que quede lista para su revisión.</w:t>
      </w:r>
    </w:p>
    <w:p>
      <w:pPr>
        <w:pBdr>
          <w:top w:val="single" w:color="2563EB" w:sz="4" w:space="6"/>
          <w:bottom w:val="single" w:color="2563EB" w:sz="4" w:space="6"/>
          <w:left w:val="single" w:color="2563EB" w:sz="4" w:space="6"/>
          <w:right w:val="single" w:color="2563EB" w:sz="4" w:space="6"/>
        </w:pBdr>
        <w:shd w:fill="DBEAFE" w:color="auto" w:val="clear"/>
        <w:spacing w:after="200" w:before="120"/>
        <w:ind w:left="60" w:right="60"/>
      </w:pPr>
      <w:r>
        <w:rPr>
          <w:rFonts w:ascii="Arial" w:cs="Arial" w:eastAsia="Arial" w:hAnsi="Arial"/>
          <w:b/>
          <w:bCs/>
          <w:i/>
          <w:iCs/>
          <w:color w:val="1E3A5F"/>
          <w:sz w:val="20"/>
          <w:szCs w:val="20"/>
        </w:rPr>
        <w:t xml:space="preserve">NOTA: </w:t>
      </w:r>
      <w:r>
        <w:rPr>
          <w:rFonts w:ascii="Arial" w:cs="Arial" w:eastAsia="Arial" w:hAnsi="Arial"/>
          <w:i/>
          <w:iCs/>
          <w:color w:val="1E3A5F"/>
          <w:sz w:val="20"/>
          <w:szCs w:val="20"/>
        </w:rPr>
        <w:t xml:space="preserve">Centro de Costo y Área son obligatorios para guardar la requisición; el sistema no permite continuar sin ellos. También se exige al menos un producto con cantidad mayor a cero.</w:t>
      </w:r>
    </w:p>
    <w:p>
      <w:pPr>
        <w:pStyle w:val="Heading2"/>
        <w:spacing w:after="120" w:before="360"/>
      </w:pPr>
      <w:r>
        <w:rPr>
          <w:rFonts w:ascii="Arial" w:cs="Arial" w:eastAsia="Arial" w:hAnsi="Arial"/>
          <w:b/>
          <w:bCs/>
          <w:color w:val="2563EB"/>
          <w:sz w:val="28"/>
          <w:szCs w:val="28"/>
        </w:rPr>
        <w:t xml:space="preserve">3.3 Autorizar o rechazar una requisición</w:t>
      </w:r>
    </w:p>
    <w:p>
      <w:pPr>
        <w:spacing w:after="160" w:line="300"/>
      </w:pPr>
      <w:r>
        <w:rPr>
          <w:rFonts w:ascii="Arial" w:cs="Arial" w:eastAsia="Arial" w:hAnsi="Arial"/>
          <w:color w:val="1E293B"/>
          <w:sz w:val="22"/>
          <w:szCs w:val="22"/>
        </w:rPr>
        <w:t xml:space="preserve">Si tu rol puede autorizar (ver capítulo 2.3), al abrir el detalle de una requisición con estatus "Enviada" verás un panel de autorización.</w:t>
      </w:r>
    </w:p>
    <w:p>
      <w:pPr>
        <w:pStyle w:val="ListParagraph"/>
        <w:numPr>
          <w:ilvl w:val="0"/>
          <w:numId w:val="4"/>
        </w:numPr>
        <w:spacing w:after="100" w:line="280"/>
      </w:pPr>
      <w:r>
        <w:rPr>
          <w:rFonts w:ascii="Arial" w:cs="Arial" w:eastAsia="Arial" w:hAnsi="Arial"/>
          <w:color w:val="1E293B"/>
          <w:sz w:val="22"/>
          <w:szCs w:val="22"/>
        </w:rPr>
        <w:t xml:space="preserve">Abre la requisición desde la lista (ícono de ojo).</w:t>
      </w:r>
    </w:p>
    <w:p>
      <w:pPr>
        <w:pStyle w:val="ListParagraph"/>
        <w:numPr>
          <w:ilvl w:val="0"/>
          <w:numId w:val="4"/>
        </w:numPr>
        <w:spacing w:after="100" w:line="280"/>
      </w:pPr>
      <w:r>
        <w:rPr>
          <w:rFonts w:ascii="Arial" w:cs="Arial" w:eastAsia="Arial" w:hAnsi="Arial"/>
          <w:color w:val="1E293B"/>
          <w:sz w:val="22"/>
          <w:szCs w:val="22"/>
        </w:rPr>
        <w:t xml:space="preserve">Revisa el detalle: área, solicitante, fechas, clasificación contable y la lista de productos.</w:t>
      </w:r>
    </w:p>
    <w:p>
      <w:pPr>
        <w:pStyle w:val="ListParagraph"/>
        <w:numPr>
          <w:ilvl w:val="0"/>
          <w:numId w:val="4"/>
        </w:numPr>
        <w:spacing w:after="100" w:line="280"/>
      </w:pPr>
      <w:r>
        <w:rPr>
          <w:rFonts w:ascii="Arial" w:cs="Arial" w:eastAsia="Arial" w:hAnsi="Arial"/>
          <w:color w:val="1E293B"/>
          <w:sz w:val="22"/>
          <w:szCs w:val="22"/>
        </w:rPr>
        <w:t xml:space="preserve">Si lo deseas, escribe un comentario de autorización.</w:t>
      </w:r>
    </w:p>
    <w:p>
      <w:pPr>
        <w:pStyle w:val="ListParagraph"/>
        <w:numPr>
          <w:ilvl w:val="0"/>
          <w:numId w:val="4"/>
        </w:numPr>
        <w:spacing w:after="100" w:line="280"/>
      </w:pPr>
      <w:r>
        <w:rPr>
          <w:rFonts w:ascii="Arial" w:cs="Arial" w:eastAsia="Arial" w:hAnsi="Arial"/>
          <w:color w:val="1E293B"/>
          <w:sz w:val="22"/>
          <w:szCs w:val="22"/>
        </w:rPr>
        <w:t xml:space="preserve">Presiona "Aprobar" o "Rechazar".</w:t>
      </w:r>
    </w:p>
    <w:p>
      <w:pPr>
        <w:spacing w:after="160" w:line="300"/>
      </w:pPr>
      <w:r>
        <w:rPr>
          <w:rFonts w:ascii="Arial" w:cs="Arial" w:eastAsia="Arial" w:hAnsi="Arial"/>
          <w:color w:val="1E293B"/>
          <w:sz w:val="22"/>
          <w:szCs w:val="22"/>
        </w:rPr>
        <w:t xml:space="preserve">El sistema registra automáticamente quién autorizó y en qué momento; esta información queda visible en el detalle y en el formato impreso.</w:t>
      </w:r>
    </w:p>
    <w:p>
      <w:pPr>
        <w:pStyle w:val="Heading2"/>
        <w:spacing w:after="120" w:before="360"/>
      </w:pPr>
      <w:r>
        <w:rPr>
          <w:rFonts w:ascii="Arial" w:cs="Arial" w:eastAsia="Arial" w:hAnsi="Arial"/>
          <w:b/>
          <w:bCs/>
          <w:color w:val="2563EB"/>
          <w:sz w:val="28"/>
          <w:szCs w:val="28"/>
        </w:rPr>
        <w:t xml:space="preserve">3.4 Imprimir una requisición</w:t>
      </w:r>
    </w:p>
    <w:p>
      <w:pPr>
        <w:spacing w:after="160" w:line="300"/>
      </w:pPr>
      <w:r>
        <w:rPr>
          <w:rFonts w:ascii="Arial" w:cs="Arial" w:eastAsia="Arial" w:hAnsi="Arial"/>
          <w:color w:val="1E293B"/>
          <w:sz w:val="22"/>
          <w:szCs w:val="22"/>
        </w:rPr>
        <w:t xml:space="preserve">Desde el detalle o desde el formulario de edición puedes presionar "Imprimir" para generar un formato con los datos de la solicitud, el listado de productos y espacios de firma para Solicitó, Autorizó y Recibió.</w:t>
      </w:r>
    </w:p>
    <w:p>
      <w:pPr>
        <w:pStyle w:val="Heading2"/>
        <w:spacing w:after="120" w:before="360"/>
      </w:pPr>
      <w:r>
        <w:rPr>
          <w:rFonts w:ascii="Arial" w:cs="Arial" w:eastAsia="Arial" w:hAnsi="Arial"/>
          <w:b/>
          <w:bCs/>
          <w:color w:val="2563EB"/>
          <w:sz w:val="28"/>
          <w:szCs w:val="28"/>
        </w:rPr>
        <w:t xml:space="preserve">3.5 Filtros disponibles en la lista</w:t>
      </w:r>
    </w:p>
    <w:p>
      <w:pPr>
        <w:spacing w:after="160" w:line="300"/>
      </w:pPr>
      <w:r>
        <w:rPr>
          <w:rFonts w:ascii="Arial" w:cs="Arial" w:eastAsia="Arial" w:hAnsi="Arial"/>
          <w:color w:val="1E293B"/>
          <w:sz w:val="22"/>
          <w:szCs w:val="22"/>
        </w:rPr>
        <w:t xml:space="preserve">La lista de Requisiciones permite buscar por folio, área o solicitante, y filtrar por Estatus, Centro de Costo, Área (dependiente del Centro de Costo) y rango de fecha de creación.</w:t>
      </w:r>
    </w:p>
    <w:p>
      <w:r>
        <w:br w:type="page"/>
      </w:r>
    </w:p>
    <w:p>
      <w:pPr>
        <w:pStyle w:val="Heading1"/>
        <w:pBdr>
          <w:bottom w:val="single" w:color="2563EB" w:sz="4" w:space="4"/>
        </w:pBdr>
        <w:spacing w:after="240" w:before="480"/>
      </w:pPr>
      <w:r>
        <w:rPr>
          <w:rFonts w:ascii="Arial" w:cs="Arial" w:eastAsia="Arial" w:hAnsi="Arial"/>
          <w:b/>
          <w:bCs/>
          <w:color w:val="1E3A5F"/>
          <w:sz w:val="36"/>
          <w:szCs w:val="36"/>
        </w:rPr>
        <w:t xml:space="preserve">4. Cotizaciones (RFQ)</w:t>
      </w:r>
    </w:p>
    <w:p>
      <w:pPr>
        <w:spacing w:after="160" w:line="300"/>
      </w:pPr>
      <w:r>
        <w:rPr>
          <w:rFonts w:ascii="Arial" w:cs="Arial" w:eastAsia="Arial" w:hAnsi="Arial"/>
          <w:color w:val="1E293B"/>
          <w:sz w:val="22"/>
          <w:szCs w:val="22"/>
        </w:rPr>
        <w:t xml:space="preserve">El submódulo de Cotizaciones —también llamado RFQ, por "Request for Quotation"— sirve para pedir precio a hasta tres proveedores por los mismos productos y compararlos en un cuadro comparativo antes de decidir con quién comprar.</w:t>
      </w:r>
    </w:p>
    <w:p>
      <w:pPr>
        <w:pStyle w:val="Heading2"/>
        <w:spacing w:after="120" w:before="360"/>
      </w:pPr>
      <w:r>
        <w:rPr>
          <w:rFonts w:ascii="Arial" w:cs="Arial" w:eastAsia="Arial" w:hAnsi="Arial"/>
          <w:b/>
          <w:bCs/>
          <w:color w:val="2563EB"/>
          <w:sz w:val="28"/>
          <w:szCs w:val="28"/>
        </w:rPr>
        <w:t xml:space="preserve">4.1 Crear una solicitud de cotización</w:t>
      </w:r>
    </w:p>
    <w:p>
      <w:pPr>
        <w:pBdr>
          <w:top w:val="single" w:color="CBD5E1" w:sz="2"/>
          <w:bottom w:val="single" w:color="CBD5E1" w:sz="2"/>
          <w:left w:val="single" w:color="CBD5E1" w:sz="2"/>
          <w:right w:val="single" w:color="CBD5E1" w:sz="2"/>
        </w:pBdr>
        <w:shd w:fill="EEF2F7" w:color="auto" w:val="clear"/>
        <w:spacing w:after="160" w:before="120"/>
      </w:pPr>
      <w:r>
        <w:rPr>
          <w:rFonts w:ascii="Arial" w:cs="Arial" w:eastAsia="Arial" w:hAnsi="Arial"/>
          <w:b/>
          <w:bCs/>
          <w:i/>
          <w:iCs/>
          <w:color w:val="1E3A5F"/>
          <w:sz w:val="20"/>
          <w:szCs w:val="20"/>
        </w:rPr>
        <w:t xml:space="preserve">Ruta en el sistema: </w:t>
      </w:r>
      <w:r>
        <w:rPr>
          <w:rFonts w:ascii="Arial" w:cs="Arial" w:eastAsia="Arial" w:hAnsi="Arial"/>
          <w:i/>
          <w:iCs/>
          <w:color w:val="475569"/>
          <w:sz w:val="20"/>
          <w:szCs w:val="20"/>
        </w:rPr>
        <w:t xml:space="preserve">Compras → Cotizaciones (RFQ) → Nueva RFQ</w:t>
      </w:r>
    </w:p>
    <w:p>
      <w:pPr>
        <w:pStyle w:val="ListParagraph"/>
        <w:numPr>
          <w:ilvl w:val="0"/>
          <w:numId w:val="5"/>
        </w:numPr>
        <w:spacing w:after="100" w:line="280"/>
      </w:pPr>
      <w:r>
        <w:rPr>
          <w:rFonts w:ascii="Arial" w:cs="Arial" w:eastAsia="Arial" w:hAnsi="Arial"/>
          <w:color w:val="1E293B"/>
          <w:sz w:val="22"/>
          <w:szCs w:val="22"/>
        </w:rPr>
        <w:t xml:space="preserve">Si la cotización proviene de una Requisición ya Aprobada, selecciónala en "Requisición Asociada" (solo aparecen requisiciones aprobadas que todavía no tienen una RFQ vinculada). Esto precarga automáticamente los productos a cotizar.</w:t>
      </w:r>
    </w:p>
    <w:p>
      <w:pPr>
        <w:pStyle w:val="ListParagraph"/>
        <w:numPr>
          <w:ilvl w:val="0"/>
          <w:numId w:val="5"/>
        </w:numPr>
        <w:spacing w:after="100" w:line="280"/>
      </w:pPr>
      <w:r>
        <w:rPr>
          <w:rFonts w:ascii="Arial" w:cs="Arial" w:eastAsia="Arial" w:hAnsi="Arial"/>
          <w:color w:val="1E293B"/>
          <w:sz w:val="22"/>
          <w:szCs w:val="22"/>
        </w:rPr>
        <w:t xml:space="preserve">Si no hay requisición de por medio, deja el campo en blanco y agregarás los productos manualmente al capturar la primera cotización.</w:t>
      </w:r>
    </w:p>
    <w:p>
      <w:pPr>
        <w:pStyle w:val="ListParagraph"/>
        <w:numPr>
          <w:ilvl w:val="0"/>
          <w:numId w:val="5"/>
        </w:numPr>
        <w:spacing w:after="100" w:line="280"/>
      </w:pPr>
      <w:r>
        <w:rPr>
          <w:rFonts w:ascii="Arial" w:cs="Arial" w:eastAsia="Arial" w:hAnsi="Arial"/>
          <w:color w:val="1E293B"/>
          <w:sz w:val="22"/>
          <w:szCs w:val="22"/>
        </w:rPr>
        <w:t xml:space="preserve">Indica la Fecha Límite para recibir cotizaciones (opcional).</w:t>
      </w:r>
    </w:p>
    <w:p>
      <w:pPr>
        <w:pStyle w:val="ListParagraph"/>
        <w:numPr>
          <w:ilvl w:val="0"/>
          <w:numId w:val="5"/>
        </w:numPr>
        <w:spacing w:after="100" w:line="280"/>
      </w:pPr>
      <w:r>
        <w:rPr>
          <w:rFonts w:ascii="Arial" w:cs="Arial" w:eastAsia="Arial" w:hAnsi="Arial"/>
          <w:color w:val="1E293B"/>
          <w:sz w:val="22"/>
          <w:szCs w:val="22"/>
        </w:rPr>
        <w:t xml:space="preserve">Agrega notas si lo necesitas.</w:t>
      </w:r>
    </w:p>
    <w:p>
      <w:pPr>
        <w:pStyle w:val="ListParagraph"/>
        <w:numPr>
          <w:ilvl w:val="0"/>
          <w:numId w:val="5"/>
        </w:numPr>
        <w:spacing w:after="100" w:line="280"/>
      </w:pPr>
      <w:r>
        <w:rPr>
          <w:rFonts w:ascii="Arial" w:cs="Arial" w:eastAsia="Arial" w:hAnsi="Arial"/>
          <w:color w:val="1E293B"/>
          <w:sz w:val="22"/>
          <w:szCs w:val="22"/>
        </w:rPr>
        <w:t xml:space="preserve">Presiona "Crear RFQ". El folio se genera automáticamente y el estatus inicial es "Abierta".</w:t>
      </w:r>
    </w:p>
    <w:p>
      <w:pPr>
        <w:pStyle w:val="Heading2"/>
        <w:spacing w:after="120" w:before="360"/>
      </w:pPr>
      <w:r>
        <w:rPr>
          <w:rFonts w:ascii="Arial" w:cs="Arial" w:eastAsia="Arial" w:hAnsi="Arial"/>
          <w:b/>
          <w:bCs/>
          <w:color w:val="2563EB"/>
          <w:sz w:val="28"/>
          <w:szCs w:val="28"/>
        </w:rPr>
        <w:t xml:space="preserve">4.2 Registrar la cotización de un proveedor</w:t>
      </w:r>
    </w:p>
    <w:p>
      <w:pPr>
        <w:spacing w:after="160" w:line="300"/>
      </w:pPr>
      <w:r>
        <w:rPr>
          <w:rFonts w:ascii="Arial" w:cs="Arial" w:eastAsia="Arial" w:hAnsi="Arial"/>
          <w:color w:val="1E293B"/>
          <w:sz w:val="22"/>
          <w:szCs w:val="22"/>
        </w:rPr>
        <w:t xml:space="preserve">Dentro del detalle de la RFQ (mientras esté "Abierta") puedes agregar hasta 3 cotizaciones, una por proveedor.</w:t>
      </w:r>
    </w:p>
    <w:p>
      <w:pPr>
        <w:pStyle w:val="ListParagraph"/>
        <w:numPr>
          <w:ilvl w:val="0"/>
          <w:numId w:val="6"/>
        </w:numPr>
        <w:spacing w:after="100" w:line="280"/>
      </w:pPr>
      <w:r>
        <w:rPr>
          <w:rFonts w:ascii="Arial" w:cs="Arial" w:eastAsia="Arial" w:hAnsi="Arial"/>
          <w:color w:val="1E293B"/>
          <w:sz w:val="22"/>
          <w:szCs w:val="22"/>
        </w:rPr>
        <w:t xml:space="preserve">Presiona "Agregar Cotización".</w:t>
      </w:r>
    </w:p>
    <w:p>
      <w:pPr>
        <w:pStyle w:val="ListParagraph"/>
        <w:numPr>
          <w:ilvl w:val="0"/>
          <w:numId w:val="6"/>
        </w:numPr>
        <w:spacing w:after="100" w:line="280"/>
      </w:pPr>
      <w:r>
        <w:rPr>
          <w:rFonts w:ascii="Arial" w:cs="Arial" w:eastAsia="Arial" w:hAnsi="Arial"/>
          <w:color w:val="1E293B"/>
          <w:sz w:val="22"/>
          <w:szCs w:val="22"/>
        </w:rPr>
        <w:t xml:space="preserve">Elige el Proveedor (solo se muestran proveedores que aún no tienen cotización en esta RFQ).</w:t>
      </w:r>
    </w:p>
    <w:p>
      <w:pPr>
        <w:pStyle w:val="ListParagraph"/>
        <w:numPr>
          <w:ilvl w:val="0"/>
          <w:numId w:val="6"/>
        </w:numPr>
        <w:spacing w:after="100" w:line="280"/>
      </w:pPr>
      <w:r>
        <w:rPr>
          <w:rFonts w:ascii="Arial" w:cs="Arial" w:eastAsia="Arial" w:hAnsi="Arial"/>
          <w:color w:val="1E293B"/>
          <w:sz w:val="22"/>
          <w:szCs w:val="22"/>
        </w:rPr>
        <w:t xml:space="preserve">Captura el Número de Cotización del proveedor, la Fecha, las Condiciones de Pago y el Tiempo de Entrega.</w:t>
      </w:r>
    </w:p>
    <w:p>
      <w:pPr>
        <w:pStyle w:val="ListParagraph"/>
        <w:numPr>
          <w:ilvl w:val="0"/>
          <w:numId w:val="6"/>
        </w:numPr>
        <w:spacing w:after="100" w:line="280"/>
      </w:pPr>
      <w:r>
        <w:rPr>
          <w:rFonts w:ascii="Arial" w:cs="Arial" w:eastAsia="Arial" w:hAnsi="Arial"/>
          <w:color w:val="1E293B"/>
          <w:sz w:val="22"/>
          <w:szCs w:val="22"/>
        </w:rPr>
        <w:t xml:space="preserve">Para cada producto, captura el Precio Unitario cotizado y el porcentaje de IVA (Exento, 8% o 16%). Puedes dejar sin precio los productos que ese proveedor no cotizó.</w:t>
      </w:r>
    </w:p>
    <w:p>
      <w:pPr>
        <w:pStyle w:val="ListParagraph"/>
        <w:numPr>
          <w:ilvl w:val="0"/>
          <w:numId w:val="6"/>
        </w:numPr>
        <w:spacing w:after="100" w:line="280"/>
      </w:pPr>
      <w:r>
        <w:rPr>
          <w:rFonts w:ascii="Arial" w:cs="Arial" w:eastAsia="Arial" w:hAnsi="Arial"/>
          <w:color w:val="1E293B"/>
          <w:sz w:val="22"/>
          <w:szCs w:val="22"/>
        </w:rPr>
        <w:t xml:space="preserve">Presiona "Guardar Cotización".</w:t>
      </w:r>
    </w:p>
    <w:p>
      <w:pPr>
        <w:pBdr>
          <w:top w:val="single" w:color="2563EB" w:sz="4" w:space="6"/>
          <w:bottom w:val="single" w:color="2563EB" w:sz="4" w:space="6"/>
          <w:left w:val="single" w:color="2563EB" w:sz="4" w:space="6"/>
          <w:right w:val="single" w:color="2563EB" w:sz="4" w:space="6"/>
        </w:pBdr>
        <w:shd w:fill="DBEAFE" w:color="auto" w:val="clear"/>
        <w:spacing w:after="200" w:before="120"/>
        <w:ind w:left="60" w:right="60"/>
      </w:pPr>
      <w:r>
        <w:rPr>
          <w:rFonts w:ascii="Arial" w:cs="Arial" w:eastAsia="Arial" w:hAnsi="Arial"/>
          <w:b/>
          <w:bCs/>
          <w:i/>
          <w:iCs/>
          <w:color w:val="1E3A5F"/>
          <w:sz w:val="20"/>
          <w:szCs w:val="20"/>
        </w:rPr>
        <w:t xml:space="preserve">NOTA: </w:t>
      </w:r>
      <w:r>
        <w:rPr>
          <w:rFonts w:ascii="Arial" w:cs="Arial" w:eastAsia="Arial" w:hAnsi="Arial"/>
          <w:i/>
          <w:iCs/>
          <w:color w:val="1E3A5F"/>
          <w:sz w:val="20"/>
          <w:szCs w:val="20"/>
        </w:rPr>
        <w:t xml:space="preserve">El sistema permite un máximo de 3 cotizaciones por RFQ. Mientras la RFQ siga "Abierta" puedes editar los precios de una cotización ya capturada con el botón "Editar" en la columna de ese proveedor.</w:t>
      </w:r>
    </w:p>
    <w:p>
      <w:pPr>
        <w:pStyle w:val="Heading2"/>
        <w:spacing w:after="120" w:before="360"/>
      </w:pPr>
      <w:r>
        <w:rPr>
          <w:rFonts w:ascii="Arial" w:cs="Arial" w:eastAsia="Arial" w:hAnsi="Arial"/>
          <w:b/>
          <w:bCs/>
          <w:color w:val="2563EB"/>
          <w:sz w:val="28"/>
          <w:szCs w:val="28"/>
        </w:rPr>
        <w:t xml:space="preserve">4.3 Elegir al proveedor ganador</w:t>
      </w:r>
    </w:p>
    <w:p>
      <w:pPr>
        <w:spacing w:after="160" w:line="300"/>
      </w:pPr>
      <w:r>
        <w:rPr>
          <w:rFonts w:ascii="Arial" w:cs="Arial" w:eastAsia="Arial" w:hAnsi="Arial"/>
          <w:color w:val="1E293B"/>
          <w:sz w:val="22"/>
          <w:szCs w:val="22"/>
        </w:rPr>
        <w:t xml:space="preserve">El cuadro comparativo muestra, para cada producto, el precio de cada proveedor. Puedes elegir un ganador distinto por cada producto (no es obligatorio que un mismo proveedor gane todos los artículos):</w:t>
      </w:r>
    </w:p>
    <w:p>
      <w:pPr>
        <w:pStyle w:val="ListParagraph"/>
        <w:numPr>
          <w:ilvl w:val="0"/>
          <w:numId w:val="2"/>
        </w:numPr>
        <w:spacing w:after="80" w:line="280"/>
      </w:pPr>
      <w:r>
        <w:rPr>
          <w:rFonts w:ascii="Arial" w:cs="Arial" w:eastAsia="Arial" w:hAnsi="Arial"/>
          <w:color w:val="1E293B"/>
          <w:sz w:val="22"/>
          <w:szCs w:val="22"/>
        </w:rPr>
        <w:t xml:space="preserve">Haz clic sobre el precio del proveedor que quieres marcar como ganador de ese producto.</w:t>
      </w:r>
    </w:p>
    <w:p>
      <w:pPr>
        <w:pStyle w:val="ListParagraph"/>
        <w:numPr>
          <w:ilvl w:val="0"/>
          <w:numId w:val="2"/>
        </w:numPr>
        <w:spacing w:after="80" w:line="280"/>
      </w:pPr>
      <w:r>
        <w:rPr>
          <w:rFonts w:ascii="Arial" w:cs="Arial" w:eastAsia="Arial" w:hAnsi="Arial"/>
          <w:color w:val="1E293B"/>
          <w:sz w:val="22"/>
          <w:szCs w:val="22"/>
        </w:rPr>
        <w:t xml:space="preserve">También puedes usar el botón "Sel. todo" en la columna de un proveedor para asignarle automáticamente como ganadores todos los productos que él cotizó con precio mayor a cero.</w:t>
      </w:r>
    </w:p>
    <w:p>
      <w:pPr>
        <w:pStyle w:val="ListParagraph"/>
        <w:numPr>
          <w:ilvl w:val="0"/>
          <w:numId w:val="2"/>
        </w:numPr>
        <w:spacing w:after="80" w:line="280"/>
      </w:pPr>
      <w:r>
        <w:rPr>
          <w:rFonts w:ascii="Arial" w:cs="Arial" w:eastAsia="Arial" w:hAnsi="Arial"/>
          <w:color w:val="1E293B"/>
          <w:sz w:val="22"/>
          <w:szCs w:val="22"/>
        </w:rPr>
        <w:t xml:space="preserve">La barra inferior muestra cuántos productos ya tienen ganador asignado del total que requieren decisión (los productos que ningún proveedor cotizó no cuentan para este total).</w:t>
      </w:r>
    </w:p>
    <w:p>
      <w:pPr>
        <w:pStyle w:val="Heading2"/>
        <w:spacing w:after="120" w:before="360"/>
      </w:pPr>
      <w:r>
        <w:rPr>
          <w:rFonts w:ascii="Arial" w:cs="Arial" w:eastAsia="Arial" w:hAnsi="Arial"/>
          <w:b/>
          <w:bCs/>
          <w:color w:val="2563EB"/>
          <w:sz w:val="28"/>
          <w:szCs w:val="28"/>
        </w:rPr>
        <w:t xml:space="preserve">4.4 Cerrar la RFQ</w:t>
      </w:r>
    </w:p>
    <w:p>
      <w:pPr>
        <w:spacing w:after="160" w:line="300"/>
      </w:pPr>
      <w:r>
        <w:rPr>
          <w:rFonts w:ascii="Arial" w:cs="Arial" w:eastAsia="Arial" w:hAnsi="Arial"/>
          <w:color w:val="1E293B"/>
          <w:sz w:val="22"/>
          <w:szCs w:val="22"/>
        </w:rPr>
        <w:t xml:space="preserve">El botón "Confirmar y Cerrar RFQ" se habilita únicamente cuando todos los productos con al menos una cotización tienen ya un ganador asignado. Al confirmar:</w:t>
      </w:r>
    </w:p>
    <w:p>
      <w:pPr>
        <w:pStyle w:val="ListParagraph"/>
        <w:numPr>
          <w:ilvl w:val="0"/>
          <w:numId w:val="2"/>
        </w:numPr>
        <w:spacing w:after="80" w:line="280"/>
      </w:pPr>
      <w:r>
        <w:rPr>
          <w:rFonts w:ascii="Arial" w:cs="Arial" w:eastAsia="Arial" w:hAnsi="Arial"/>
          <w:color w:val="1E293B"/>
          <w:sz w:val="22"/>
          <w:szCs w:val="22"/>
        </w:rPr>
        <w:t xml:space="preserve">El estatus de la RFQ cambia a "Cerrada".</w:t>
      </w:r>
    </w:p>
    <w:p>
      <w:pPr>
        <w:pStyle w:val="ListParagraph"/>
        <w:numPr>
          <w:ilvl w:val="0"/>
          <w:numId w:val="2"/>
        </w:numPr>
        <w:spacing w:after="80" w:line="280"/>
      </w:pPr>
      <w:r>
        <w:rPr>
          <w:rFonts w:ascii="Arial" w:cs="Arial" w:eastAsia="Arial" w:hAnsi="Arial"/>
          <w:color w:val="1E293B"/>
          <w:sz w:val="22"/>
          <w:szCs w:val="22"/>
        </w:rPr>
        <w:t xml:space="preserve">Si un solo proveedor ganó todos los productos, la RFQ queda vinculada a ese proveedor.</w:t>
      </w:r>
    </w:p>
    <w:p>
      <w:pPr>
        <w:pStyle w:val="ListParagraph"/>
        <w:numPr>
          <w:ilvl w:val="0"/>
          <w:numId w:val="2"/>
        </w:numPr>
        <w:spacing w:after="80" w:line="280"/>
      </w:pPr>
      <w:r>
        <w:rPr>
          <w:rFonts w:ascii="Arial" w:cs="Arial" w:eastAsia="Arial" w:hAnsi="Arial"/>
          <w:color w:val="1E293B"/>
          <w:sz w:val="22"/>
          <w:szCs w:val="22"/>
        </w:rPr>
        <w:t xml:space="preserve">Si hubo más de un proveedor ganador (distintos productos a distintos proveedores), la RFQ queda marcada como "Múltiples proveedores" — en ese caso deberás generar una Orden de Compra por cada proveedor ganador (ver capítulo 5.1).</w:t>
      </w:r>
    </w:p>
    <w:p>
      <w:r>
        <w:br w:type="page"/>
      </w:r>
    </w:p>
    <w:p>
      <w:pPr>
        <w:pStyle w:val="Heading1"/>
        <w:pBdr>
          <w:bottom w:val="single" w:color="2563EB" w:sz="4" w:space="4"/>
        </w:pBdr>
        <w:spacing w:after="240" w:before="480"/>
      </w:pPr>
      <w:r>
        <w:rPr>
          <w:rFonts w:ascii="Arial" w:cs="Arial" w:eastAsia="Arial" w:hAnsi="Arial"/>
          <w:b/>
          <w:bCs/>
          <w:color w:val="1E3A5F"/>
          <w:sz w:val="36"/>
          <w:szCs w:val="36"/>
        </w:rPr>
        <w:t xml:space="preserve">5. Órdenes de Compra</w:t>
      </w:r>
    </w:p>
    <w:p>
      <w:pPr>
        <w:spacing w:after="160" w:line="300"/>
      </w:pPr>
      <w:r>
        <w:rPr>
          <w:rFonts w:ascii="Arial" w:cs="Arial" w:eastAsia="Arial" w:hAnsi="Arial"/>
          <w:color w:val="1E293B"/>
          <w:sz w:val="22"/>
          <w:szCs w:val="22"/>
        </w:rPr>
        <w:t xml:space="preserve">La Orden de Compra (OC) formaliza la adquisición con el proveedor elegido. Puede generarse a partir de una Cotización cerrada o directamente, sin pasar por el proceso de cotización.</w:t>
      </w:r>
    </w:p>
    <w:p>
      <w:pPr>
        <w:pStyle w:val="Heading2"/>
        <w:spacing w:after="120" w:before="360"/>
      </w:pPr>
      <w:r>
        <w:rPr>
          <w:rFonts w:ascii="Arial" w:cs="Arial" w:eastAsia="Arial" w:hAnsi="Arial"/>
          <w:b/>
          <w:bCs/>
          <w:color w:val="2563EB"/>
          <w:sz w:val="28"/>
          <w:szCs w:val="28"/>
        </w:rPr>
        <w:t xml:space="preserve">5.1 Estatus de una Orden de Compra</w:t>
      </w:r>
    </w:p>
    <w:tbl>
      <w:tblPr>
        <w:tblW w:type="dxa" w:w="8400"/>
        <w:tblBorders>
          <w:top w:val="single" w:color="CBD5E1" w:sz="2"/>
          <w:left w:val="single" w:color="CBD5E1" w:sz="2"/>
          <w:bottom w:val="single" w:color="CBD5E1" w:sz="2"/>
          <w:right w:val="single" w:color="CBD5E1" w:sz="2"/>
          <w:insideH w:val="single" w:color="E2E8F0" w:sz="2"/>
          <w:insideV w:val="single" w:color="E2E8F0" w:sz="2"/>
        </w:tblBorders>
      </w:tblPr>
      <w:tblGrid>
        <w:gridCol w:w="2400"/>
        <w:gridCol w:w="6000"/>
      </w:tblGrid>
      <w:tr>
        <w:trPr>
          <w:cantSplit/>
          <w:tblHeader/>
        </w:trPr>
        <w:tc>
          <w:tcPr>
            <w:tcW w:type="dxa" w:w="2400"/>
            <w:shd w:fill="1E3A5F" w:color="auto" w:val="clear"/>
            <w:tcMar>
              <w:top w:type="dxa" w:w="60"/>
              <w:left w:type="dxa" w:w="100"/>
              <w:bottom w:type="dxa" w:w="60"/>
              <w:right w:type="dxa" w:w="100"/>
            </w:tcMar>
            <w:vAlign w:val="center"/>
          </w:tcPr>
          <w:p>
            <w:pPr>
              <w:spacing w:after="40" w:before="40"/>
            </w:pPr>
            <w:r>
              <w:rPr>
                <w:rFonts w:ascii="Arial" w:cs="Arial" w:eastAsia="Arial" w:hAnsi="Arial"/>
                <w:b/>
                <w:bCs/>
                <w:i w:val="false"/>
                <w:iCs w:val="false"/>
                <w:color w:val="FFFFFF"/>
                <w:sz w:val="19"/>
                <w:szCs w:val="19"/>
              </w:rPr>
              <w:t xml:space="preserve">Estatus</w:t>
            </w:r>
          </w:p>
        </w:tc>
        <w:tc>
          <w:tcPr>
            <w:tcW w:type="dxa" w:w="6000"/>
            <w:shd w:fill="1E3A5F" w:color="auto" w:val="clear"/>
            <w:tcMar>
              <w:top w:type="dxa" w:w="60"/>
              <w:left w:type="dxa" w:w="100"/>
              <w:bottom w:type="dxa" w:w="60"/>
              <w:right w:type="dxa" w:w="100"/>
            </w:tcMar>
            <w:vAlign w:val="center"/>
          </w:tcPr>
          <w:p>
            <w:pPr>
              <w:spacing w:after="40" w:before="40"/>
            </w:pPr>
            <w:r>
              <w:rPr>
                <w:rFonts w:ascii="Arial" w:cs="Arial" w:eastAsia="Arial" w:hAnsi="Arial"/>
                <w:b/>
                <w:bCs/>
                <w:i w:val="false"/>
                <w:iCs w:val="false"/>
                <w:color w:val="FFFFFF"/>
                <w:sz w:val="19"/>
                <w:szCs w:val="19"/>
              </w:rPr>
              <w:t xml:space="preserve">Significado</w:t>
            </w:r>
          </w:p>
        </w:tc>
      </w:tr>
      <w:tr>
        <w:trPr>
          <w:cantSplit/>
        </w:trPr>
        <w:tc>
          <w:tcPr>
            <w:tcW w:type="dxa" w:w="24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Borrador</w:t>
            </w:r>
          </w:p>
        </w:tc>
        <w:tc>
          <w:tcPr>
            <w:tcW w:type="dxa" w:w="60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En captura. Es el único estatus en el que la OC puede editarse.</w:t>
            </w:r>
          </w:p>
        </w:tc>
      </w:tr>
      <w:tr>
        <w:trPr>
          <w:cantSplit/>
        </w:trPr>
        <w:tc>
          <w:tcPr>
            <w:tcW w:type="dxa" w:w="24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Pendiente Auth</w:t>
            </w:r>
          </w:p>
        </w:tc>
        <w:tc>
          <w:tcPr>
            <w:tcW w:type="dxa" w:w="60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Enviada para autorización.</w:t>
            </w:r>
          </w:p>
        </w:tc>
      </w:tr>
      <w:tr>
        <w:trPr>
          <w:cantSplit/>
        </w:trPr>
        <w:tc>
          <w:tcPr>
            <w:tcW w:type="dxa" w:w="24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Autorizada</w:t>
            </w:r>
          </w:p>
        </w:tc>
        <w:tc>
          <w:tcPr>
            <w:tcW w:type="dxa" w:w="60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Aprobada; ya puede recibirse mercancía contra ella y generarse su Orden de Pago.</w:t>
            </w:r>
          </w:p>
        </w:tc>
      </w:tr>
      <w:tr>
        <w:trPr>
          <w:cantSplit/>
        </w:trPr>
        <w:tc>
          <w:tcPr>
            <w:tcW w:type="dxa" w:w="24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Enviada al Prov</w:t>
            </w:r>
          </w:p>
        </w:tc>
        <w:tc>
          <w:tcPr>
            <w:tcW w:type="dxa" w:w="60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Se marca así automáticamente cuando ya tiene al menos una Orden de Pago generada.</w:t>
            </w:r>
          </w:p>
        </w:tc>
      </w:tr>
      <w:tr>
        <w:trPr>
          <w:cantSplit/>
        </w:trPr>
        <w:tc>
          <w:tcPr>
            <w:tcW w:type="dxa" w:w="24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Recibida Parcial</w:t>
            </w:r>
          </w:p>
        </w:tc>
        <w:tc>
          <w:tcPr>
            <w:tcW w:type="dxa" w:w="60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Se recibió parte de la mercancía; queda pendiente el resto.</w:t>
            </w:r>
          </w:p>
        </w:tc>
      </w:tr>
      <w:tr>
        <w:trPr>
          <w:cantSplit/>
        </w:trPr>
        <w:tc>
          <w:tcPr>
            <w:tcW w:type="dxa" w:w="24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Cerrada</w:t>
            </w:r>
          </w:p>
        </w:tc>
        <w:tc>
          <w:tcPr>
            <w:tcW w:type="dxa" w:w="60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Se recibió toda la mercancía (o se decidió cerrarla con lo recibido). No admite más recepciones.</w:t>
            </w:r>
          </w:p>
        </w:tc>
      </w:tr>
      <w:tr>
        <w:trPr>
          <w:cantSplit/>
        </w:trPr>
        <w:tc>
          <w:tcPr>
            <w:tcW w:type="dxa" w:w="24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Cancelada</w:t>
            </w:r>
          </w:p>
        </w:tc>
        <w:tc>
          <w:tcPr>
            <w:tcW w:type="dxa" w:w="60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Disponible como filtro para OC canceladas.</w:t>
            </w:r>
          </w:p>
        </w:tc>
      </w:tr>
    </w:tbl>
    <w:p>
      <w:pPr>
        <w:pStyle w:val="Heading2"/>
        <w:spacing w:after="120" w:before="360"/>
      </w:pPr>
      <w:r>
        <w:rPr>
          <w:rFonts w:ascii="Arial" w:cs="Arial" w:eastAsia="Arial" w:hAnsi="Arial"/>
          <w:b/>
          <w:bCs/>
          <w:color w:val="2563EB"/>
          <w:sz w:val="28"/>
          <w:szCs w:val="28"/>
        </w:rPr>
        <w:t xml:space="preserve">5.2 Generar una OC desde una RFQ</w:t>
      </w:r>
    </w:p>
    <w:p>
      <w:pPr>
        <w:pBdr>
          <w:top w:val="single" w:color="CBD5E1" w:sz="2"/>
          <w:bottom w:val="single" w:color="CBD5E1" w:sz="2"/>
          <w:left w:val="single" w:color="CBD5E1" w:sz="2"/>
          <w:right w:val="single" w:color="CBD5E1" w:sz="2"/>
        </w:pBdr>
        <w:shd w:fill="EEF2F7" w:color="auto" w:val="clear"/>
        <w:spacing w:after="160" w:before="120"/>
      </w:pPr>
      <w:r>
        <w:rPr>
          <w:rFonts w:ascii="Arial" w:cs="Arial" w:eastAsia="Arial" w:hAnsi="Arial"/>
          <w:b/>
          <w:bCs/>
          <w:i/>
          <w:iCs/>
          <w:color w:val="1E3A5F"/>
          <w:sz w:val="20"/>
          <w:szCs w:val="20"/>
        </w:rPr>
        <w:t xml:space="preserve">Ruta en el sistema: </w:t>
      </w:r>
      <w:r>
        <w:rPr>
          <w:rFonts w:ascii="Arial" w:cs="Arial" w:eastAsia="Arial" w:hAnsi="Arial"/>
          <w:i/>
          <w:iCs/>
          <w:color w:val="475569"/>
          <w:sz w:val="20"/>
          <w:szCs w:val="20"/>
        </w:rPr>
        <w:t xml:space="preserve">Compras → Órdenes de Compra → Nueva OC</w:t>
      </w:r>
    </w:p>
    <w:p>
      <w:pPr>
        <w:pStyle w:val="ListParagraph"/>
        <w:numPr>
          <w:ilvl w:val="0"/>
          <w:numId w:val="7"/>
        </w:numPr>
        <w:spacing w:after="100" w:line="280"/>
      </w:pPr>
      <w:r>
        <w:rPr>
          <w:rFonts w:ascii="Arial" w:cs="Arial" w:eastAsia="Arial" w:hAnsi="Arial"/>
          <w:color w:val="1E293B"/>
          <w:sz w:val="22"/>
          <w:szCs w:val="22"/>
        </w:rPr>
        <w:t xml:space="preserve">En "Desde RFQ" elige la cotización cerrada correspondiente (solo se listan RFQ en estatus "Cerrada" que aún no tengan una OC creada para ese proveedor).</w:t>
      </w:r>
    </w:p>
    <w:p>
      <w:pPr>
        <w:pStyle w:val="ListParagraph"/>
        <w:numPr>
          <w:ilvl w:val="0"/>
          <w:numId w:val="7"/>
        </w:numPr>
        <w:spacing w:after="100" w:line="280"/>
      </w:pPr>
      <w:r>
        <w:rPr>
          <w:rFonts w:ascii="Arial" w:cs="Arial" w:eastAsia="Arial" w:hAnsi="Arial"/>
          <w:color w:val="1E293B"/>
          <w:sz w:val="22"/>
          <w:szCs w:val="22"/>
        </w:rPr>
        <w:t xml:space="preserve">El sistema precarga automáticamente el proveedor y los productos ganadores, con sus precios y cantidades, así como el Centro de Costo, Área y Frente heredados de la requisición original.</w:t>
      </w:r>
    </w:p>
    <w:p>
      <w:pPr>
        <w:pStyle w:val="ListParagraph"/>
        <w:numPr>
          <w:ilvl w:val="0"/>
          <w:numId w:val="7"/>
        </w:numPr>
        <w:spacing w:after="100" w:line="280"/>
      </w:pPr>
      <w:r>
        <w:rPr>
          <w:rFonts w:ascii="Arial" w:cs="Arial" w:eastAsia="Arial" w:hAnsi="Arial"/>
          <w:color w:val="1E293B"/>
          <w:sz w:val="22"/>
          <w:szCs w:val="22"/>
        </w:rPr>
        <w:t xml:space="preserve">Si la RFQ tuvo varios proveedores ganadores, aparecerá un selector para elegir con cuál de ellos vas a generar esta OC en particular; deberás repetir el proceso una vez por cada proveedor.</w:t>
      </w:r>
    </w:p>
    <w:p>
      <w:pPr>
        <w:pStyle w:val="ListParagraph"/>
        <w:numPr>
          <w:ilvl w:val="0"/>
          <w:numId w:val="7"/>
        </w:numPr>
        <w:spacing w:after="100" w:line="280"/>
      </w:pPr>
      <w:r>
        <w:rPr>
          <w:rFonts w:ascii="Arial" w:cs="Arial" w:eastAsia="Arial" w:hAnsi="Arial"/>
          <w:color w:val="1E293B"/>
          <w:sz w:val="22"/>
          <w:szCs w:val="22"/>
        </w:rPr>
        <w:t xml:space="preserve">Completa Fecha de Entrega Estimada, Condiciones de Pago y Almacén de Entrega.</w:t>
      </w:r>
    </w:p>
    <w:p>
      <w:pPr>
        <w:pStyle w:val="ListParagraph"/>
        <w:numPr>
          <w:ilvl w:val="0"/>
          <w:numId w:val="7"/>
        </w:numPr>
        <w:spacing w:after="100" w:line="280"/>
      </w:pPr>
      <w:r>
        <w:rPr>
          <w:rFonts w:ascii="Arial" w:cs="Arial" w:eastAsia="Arial" w:hAnsi="Arial"/>
          <w:color w:val="1E293B"/>
          <w:sz w:val="22"/>
          <w:szCs w:val="22"/>
        </w:rPr>
        <w:t xml:space="preserve">Revisa/ajusta los productos si es necesario.</w:t>
      </w:r>
    </w:p>
    <w:p>
      <w:pPr>
        <w:pStyle w:val="ListParagraph"/>
        <w:numPr>
          <w:ilvl w:val="0"/>
          <w:numId w:val="7"/>
        </w:numPr>
        <w:spacing w:after="100" w:line="280"/>
      </w:pPr>
      <w:r>
        <w:rPr>
          <w:rFonts w:ascii="Arial" w:cs="Arial" w:eastAsia="Arial" w:hAnsi="Arial"/>
          <w:color w:val="1E293B"/>
          <w:sz w:val="22"/>
          <w:szCs w:val="22"/>
        </w:rPr>
        <w:t xml:space="preserve">Guarda como Borrador o presiona "Enviar para Autorización".</w:t>
      </w:r>
    </w:p>
    <w:p>
      <w:pPr>
        <w:pStyle w:val="Heading2"/>
        <w:spacing w:after="120" w:before="360"/>
      </w:pPr>
      <w:r>
        <w:rPr>
          <w:rFonts w:ascii="Arial" w:cs="Arial" w:eastAsia="Arial" w:hAnsi="Arial"/>
          <w:b/>
          <w:bCs/>
          <w:color w:val="2563EB"/>
          <w:sz w:val="28"/>
          <w:szCs w:val="28"/>
        </w:rPr>
        <w:t xml:space="preserve">5.3 Generar una OC directa (sin RFQ)</w:t>
      </w:r>
    </w:p>
    <w:p>
      <w:pPr>
        <w:spacing w:after="160" w:line="300"/>
      </w:pPr>
      <w:r>
        <w:rPr>
          <w:rFonts w:ascii="Arial" w:cs="Arial" w:eastAsia="Arial" w:hAnsi="Arial"/>
          <w:color w:val="1E293B"/>
          <w:sz w:val="22"/>
          <w:szCs w:val="22"/>
        </w:rPr>
        <w:t xml:space="preserve">Cuando la compra no requiere comparar proveedores, puedes generar la OC directamente:</w:t>
      </w:r>
    </w:p>
    <w:p>
      <w:pPr>
        <w:pStyle w:val="ListParagraph"/>
        <w:numPr>
          <w:ilvl w:val="0"/>
          <w:numId w:val="8"/>
        </w:numPr>
        <w:spacing w:after="100" w:line="280"/>
      </w:pPr>
      <w:r>
        <w:rPr>
          <w:rFonts w:ascii="Arial" w:cs="Arial" w:eastAsia="Arial" w:hAnsi="Arial"/>
          <w:color w:val="1E293B"/>
          <w:sz w:val="22"/>
          <w:szCs w:val="22"/>
        </w:rPr>
        <w:t xml:space="preserve">Deja el campo "Desde RFQ" en blanco.</w:t>
      </w:r>
    </w:p>
    <w:p>
      <w:pPr>
        <w:pStyle w:val="ListParagraph"/>
        <w:numPr>
          <w:ilvl w:val="0"/>
          <w:numId w:val="8"/>
        </w:numPr>
        <w:spacing w:after="100" w:line="280"/>
      </w:pPr>
      <w:r>
        <w:rPr>
          <w:rFonts w:ascii="Arial" w:cs="Arial" w:eastAsia="Arial" w:hAnsi="Arial"/>
          <w:color w:val="1E293B"/>
          <w:sz w:val="22"/>
          <w:szCs w:val="22"/>
        </w:rPr>
        <w:t xml:space="preserve">Elige el Proveedor manualmente.</w:t>
      </w:r>
    </w:p>
    <w:p>
      <w:pPr>
        <w:pStyle w:val="ListParagraph"/>
        <w:numPr>
          <w:ilvl w:val="0"/>
          <w:numId w:val="8"/>
        </w:numPr>
        <w:spacing w:after="100" w:line="280"/>
      </w:pPr>
      <w:r>
        <w:rPr>
          <w:rFonts w:ascii="Arial" w:cs="Arial" w:eastAsia="Arial" w:hAnsi="Arial"/>
          <w:color w:val="1E293B"/>
          <w:sz w:val="22"/>
          <w:szCs w:val="22"/>
        </w:rPr>
        <w:t xml:space="preserve">Indica Centro de Costo y Área (obligatorios) y Frente si aplica.</w:t>
      </w:r>
    </w:p>
    <w:p>
      <w:pPr>
        <w:pStyle w:val="ListParagraph"/>
        <w:numPr>
          <w:ilvl w:val="0"/>
          <w:numId w:val="8"/>
        </w:numPr>
        <w:spacing w:after="100" w:line="280"/>
      </w:pPr>
      <w:r>
        <w:rPr>
          <w:rFonts w:ascii="Arial" w:cs="Arial" w:eastAsia="Arial" w:hAnsi="Arial"/>
          <w:color w:val="1E293B"/>
          <w:sz w:val="22"/>
          <w:szCs w:val="22"/>
        </w:rPr>
        <w:t xml:space="preserve">Captura los productos: puedes buscarlos en el catálogo de Artículos o describirlos libremente, con Cantidad, Unidad, Precio Unitario e IVA.</w:t>
      </w:r>
    </w:p>
    <w:p>
      <w:pPr>
        <w:pStyle w:val="ListParagraph"/>
        <w:numPr>
          <w:ilvl w:val="0"/>
          <w:numId w:val="8"/>
        </w:numPr>
        <w:spacing w:after="100" w:line="280"/>
      </w:pPr>
      <w:r>
        <w:rPr>
          <w:rFonts w:ascii="Arial" w:cs="Arial" w:eastAsia="Arial" w:hAnsi="Arial"/>
          <w:color w:val="1E293B"/>
          <w:sz w:val="22"/>
          <w:szCs w:val="22"/>
        </w:rPr>
        <w:t xml:space="preserve">Guarda como Borrador o envía a autorización.</w:t>
      </w:r>
    </w:p>
    <w:p>
      <w:pPr>
        <w:pBdr>
          <w:top w:val="single" w:color="2563EB" w:sz="4" w:space="6"/>
          <w:bottom w:val="single" w:color="2563EB" w:sz="4" w:space="6"/>
          <w:left w:val="single" w:color="2563EB" w:sz="4" w:space="6"/>
          <w:right w:val="single" w:color="2563EB" w:sz="4" w:space="6"/>
        </w:pBdr>
        <w:shd w:fill="DBEAFE" w:color="auto" w:val="clear"/>
        <w:spacing w:after="200" w:before="120"/>
        <w:ind w:left="60" w:right="60"/>
      </w:pPr>
      <w:r>
        <w:rPr>
          <w:rFonts w:ascii="Arial" w:cs="Arial" w:eastAsia="Arial" w:hAnsi="Arial"/>
          <w:b/>
          <w:bCs/>
          <w:i/>
          <w:iCs/>
          <w:color w:val="1E3A5F"/>
          <w:sz w:val="20"/>
          <w:szCs w:val="20"/>
        </w:rPr>
        <w:t xml:space="preserve">NOTA: </w:t>
      </w:r>
      <w:r>
        <w:rPr>
          <w:rFonts w:ascii="Arial" w:cs="Arial" w:eastAsia="Arial" w:hAnsi="Arial"/>
          <w:i/>
          <w:iCs/>
          <w:color w:val="1E3A5F"/>
          <w:sz w:val="20"/>
          <w:szCs w:val="20"/>
        </w:rPr>
        <w:t xml:space="preserve">Solo se puede editar una OC mientras está en Borrador. Una vez enviada a autorización, cualquier corrección requiere que sea rechazada primero (lo que la regresa a un estado editable según el flujo) o que se genere una nueva OC.</w:t>
      </w:r>
    </w:p>
    <w:p>
      <w:pPr>
        <w:pStyle w:val="Heading2"/>
        <w:spacing w:after="120" w:before="360"/>
      </w:pPr>
      <w:r>
        <w:rPr>
          <w:rFonts w:ascii="Arial" w:cs="Arial" w:eastAsia="Arial" w:hAnsi="Arial"/>
          <w:b/>
          <w:bCs/>
          <w:color w:val="2563EB"/>
          <w:sz w:val="28"/>
          <w:szCs w:val="28"/>
        </w:rPr>
        <w:t xml:space="preserve">5.4 Autorizar una OC</w:t>
      </w:r>
    </w:p>
    <w:p>
      <w:pPr>
        <w:spacing w:after="160" w:line="300"/>
      </w:pPr>
      <w:r>
        <w:rPr>
          <w:rFonts w:ascii="Arial" w:cs="Arial" w:eastAsia="Arial" w:hAnsi="Arial"/>
          <w:color w:val="1E293B"/>
          <w:sz w:val="22"/>
          <w:szCs w:val="22"/>
        </w:rPr>
        <w:t xml:space="preserve">Quien tenga permiso de autorización, al abrir una OC en estatus "Pendiente Auth", puede escribir un comentario y presionar "Autorizar OC" o "Rechazar". Al autorizarse, la OC queda lista para recibir mercancía y para generar su Orden de Pago.</w:t>
      </w:r>
    </w:p>
    <w:p>
      <w:pPr>
        <w:pStyle w:val="Heading2"/>
        <w:spacing w:after="120" w:before="360"/>
      </w:pPr>
      <w:r>
        <w:rPr>
          <w:rFonts w:ascii="Arial" w:cs="Arial" w:eastAsia="Arial" w:hAnsi="Arial"/>
          <w:b/>
          <w:bCs/>
          <w:color w:val="2563EB"/>
          <w:sz w:val="28"/>
          <w:szCs w:val="28"/>
        </w:rPr>
        <w:t xml:space="preserve">5.5 Generar la Orden de Pago desde la OC</w:t>
      </w:r>
    </w:p>
    <w:p>
      <w:pPr>
        <w:spacing w:after="160" w:line="300"/>
      </w:pPr>
      <w:r>
        <w:rPr>
          <w:rFonts w:ascii="Arial" w:cs="Arial" w:eastAsia="Arial" w:hAnsi="Arial"/>
          <w:color w:val="1E293B"/>
          <w:sz w:val="22"/>
          <w:szCs w:val="22"/>
        </w:rPr>
        <w:t xml:space="preserve">Con la OC ya Autorizada y sin una Orden de Pago previa, el detalle muestra el botón "Generar Orden de Pago":</w:t>
      </w:r>
    </w:p>
    <w:p>
      <w:pPr>
        <w:pStyle w:val="ListParagraph"/>
        <w:numPr>
          <w:ilvl w:val="0"/>
          <w:numId w:val="9"/>
        </w:numPr>
        <w:spacing w:after="100" w:line="280"/>
      </w:pPr>
      <w:r>
        <w:rPr>
          <w:rFonts w:ascii="Arial" w:cs="Arial" w:eastAsia="Arial" w:hAnsi="Arial"/>
          <w:color w:val="1E293B"/>
          <w:sz w:val="22"/>
          <w:szCs w:val="22"/>
        </w:rPr>
        <w:t xml:space="preserve">Presiona "Generar Orden de Pago".</w:t>
      </w:r>
    </w:p>
    <w:p>
      <w:pPr>
        <w:pStyle w:val="ListParagraph"/>
        <w:numPr>
          <w:ilvl w:val="0"/>
          <w:numId w:val="9"/>
        </w:numPr>
        <w:spacing w:after="100" w:line="280"/>
      </w:pPr>
      <w:r>
        <w:rPr>
          <w:rFonts w:ascii="Arial" w:cs="Arial" w:eastAsia="Arial" w:hAnsi="Arial"/>
          <w:color w:val="1E293B"/>
          <w:sz w:val="22"/>
          <w:szCs w:val="22"/>
        </w:rPr>
        <w:t xml:space="preserve">Elige Forma de Pago y, si aplica, Fecha de Vencimiento.</w:t>
      </w:r>
    </w:p>
    <w:p>
      <w:pPr>
        <w:pStyle w:val="ListParagraph"/>
        <w:numPr>
          <w:ilvl w:val="0"/>
          <w:numId w:val="9"/>
        </w:numPr>
        <w:spacing w:after="100" w:line="280"/>
      </w:pPr>
      <w:r>
        <w:rPr>
          <w:rFonts w:ascii="Arial" w:cs="Arial" w:eastAsia="Arial" w:hAnsi="Arial"/>
          <w:color w:val="1E293B"/>
          <w:sz w:val="22"/>
          <w:szCs w:val="22"/>
        </w:rPr>
        <w:t xml:space="preserve">Confirma o edita el Concepto (se sugiere automáticamente con el folio de la OC).</w:t>
      </w:r>
    </w:p>
    <w:p>
      <w:pPr>
        <w:pStyle w:val="ListParagraph"/>
        <w:numPr>
          <w:ilvl w:val="0"/>
          <w:numId w:val="9"/>
        </w:numPr>
        <w:spacing w:after="100" w:line="280"/>
      </w:pPr>
      <w:r>
        <w:rPr>
          <w:rFonts w:ascii="Arial" w:cs="Arial" w:eastAsia="Arial" w:hAnsi="Arial"/>
          <w:color w:val="1E293B"/>
          <w:sz w:val="22"/>
          <w:szCs w:val="22"/>
        </w:rPr>
        <w:t xml:space="preserve">Elige el Tipo de Gasto si lo deseas clasificar.</w:t>
      </w:r>
    </w:p>
    <w:p>
      <w:pPr>
        <w:pStyle w:val="ListParagraph"/>
        <w:numPr>
          <w:ilvl w:val="0"/>
          <w:numId w:val="9"/>
        </w:numPr>
        <w:spacing w:after="100" w:line="280"/>
      </w:pPr>
      <w:r>
        <w:rPr>
          <w:rFonts w:ascii="Arial" w:cs="Arial" w:eastAsia="Arial" w:hAnsi="Arial"/>
          <w:color w:val="1E293B"/>
          <w:sz w:val="22"/>
          <w:szCs w:val="22"/>
        </w:rPr>
        <w:t xml:space="preserve">Presiona "Crear Orden de Pago".</w:t>
      </w:r>
    </w:p>
    <w:p>
      <w:pPr>
        <w:pBdr>
          <w:top w:val="single" w:color="2563EB" w:sz="4" w:space="6"/>
          <w:bottom w:val="single" w:color="2563EB" w:sz="4" w:space="6"/>
          <w:left w:val="single" w:color="2563EB" w:sz="4" w:space="6"/>
          <w:right w:val="single" w:color="2563EB" w:sz="4" w:space="6"/>
        </w:pBdr>
        <w:shd w:fill="DBEAFE" w:color="auto" w:val="clear"/>
        <w:spacing w:after="200" w:before="120"/>
        <w:ind w:left="60" w:right="60"/>
      </w:pPr>
      <w:r>
        <w:rPr>
          <w:rFonts w:ascii="Arial" w:cs="Arial" w:eastAsia="Arial" w:hAnsi="Arial"/>
          <w:b/>
          <w:bCs/>
          <w:i/>
          <w:iCs/>
          <w:color w:val="1E3A5F"/>
          <w:sz w:val="20"/>
          <w:szCs w:val="20"/>
        </w:rPr>
        <w:t xml:space="preserve">NOTA: </w:t>
      </w:r>
      <w:r>
        <w:rPr>
          <w:rFonts w:ascii="Arial" w:cs="Arial" w:eastAsia="Arial" w:hAnsi="Arial"/>
          <w:i/>
          <w:iCs/>
          <w:color w:val="1E3A5F"/>
          <w:sz w:val="20"/>
          <w:szCs w:val="20"/>
        </w:rPr>
        <w:t xml:space="preserve">Una Orden de Pago generada desde una OC ya autorizada entra directamente a Cuentas por Pagar con estatus "Pendiente" — no requiere una segunda autorización, porque ya pasó por toda la cadena de aprobación de Requisición y Orden de Compra.</w:t>
      </w:r>
    </w:p>
    <w:p>
      <w:pPr>
        <w:pStyle w:val="Heading2"/>
        <w:spacing w:after="120" w:before="360"/>
      </w:pPr>
      <w:r>
        <w:rPr>
          <w:rFonts w:ascii="Arial" w:cs="Arial" w:eastAsia="Arial" w:hAnsi="Arial"/>
          <w:b/>
          <w:bCs/>
          <w:color w:val="2563EB"/>
          <w:sz w:val="28"/>
          <w:szCs w:val="28"/>
        </w:rPr>
        <w:t xml:space="preserve">5.6 Imprimir la Orden de Compra</w:t>
      </w:r>
    </w:p>
    <w:p>
      <w:pPr>
        <w:spacing w:after="160" w:line="300"/>
      </w:pPr>
      <w:r>
        <w:rPr>
          <w:rFonts w:ascii="Arial" w:cs="Arial" w:eastAsia="Arial" w:hAnsi="Arial"/>
          <w:color w:val="1E293B"/>
          <w:sz w:val="22"/>
          <w:szCs w:val="22"/>
        </w:rPr>
        <w:t xml:space="preserve">El botón "Imprimir OC" del detalle genera un formato con los datos del proveedor, los productos, los totales y el bloque de autorización y control de pago si ya existe una Orden de Pago asociada.</w:t>
      </w:r>
    </w:p>
    <w:p>
      <w:r>
        <w:br w:type="page"/>
      </w:r>
    </w:p>
    <w:p>
      <w:pPr>
        <w:pStyle w:val="Heading1"/>
        <w:pBdr>
          <w:bottom w:val="single" w:color="2563EB" w:sz="4" w:space="4"/>
        </w:pBdr>
        <w:spacing w:after="240" w:before="480"/>
      </w:pPr>
      <w:r>
        <w:rPr>
          <w:rFonts w:ascii="Arial" w:cs="Arial" w:eastAsia="Arial" w:hAnsi="Arial"/>
          <w:b/>
          <w:bCs/>
          <w:color w:val="1E3A5F"/>
          <w:sz w:val="36"/>
          <w:szCs w:val="36"/>
        </w:rPr>
        <w:t xml:space="preserve">6. Recepción de Mercancías</w:t>
      </w:r>
    </w:p>
    <w:p>
      <w:pPr>
        <w:spacing w:after="160" w:line="300"/>
      </w:pPr>
      <w:r>
        <w:rPr>
          <w:rFonts w:ascii="Arial" w:cs="Arial" w:eastAsia="Arial" w:hAnsi="Arial"/>
          <w:color w:val="1E293B"/>
          <w:sz w:val="22"/>
          <w:szCs w:val="22"/>
        </w:rPr>
        <w:t xml:space="preserve">La Recepción registra la llegada física de la mercancía al almacén y es el único punto del flujo de compras que actualiza el Inventario (junto con las Transferencias, ver capítulo 8).</w:t>
      </w:r>
    </w:p>
    <w:p>
      <w:pPr>
        <w:pStyle w:val="Heading2"/>
        <w:spacing w:after="120" w:before="360"/>
      </w:pPr>
      <w:r>
        <w:rPr>
          <w:rFonts w:ascii="Arial" w:cs="Arial" w:eastAsia="Arial" w:hAnsi="Arial"/>
          <w:b/>
          <w:bCs/>
          <w:color w:val="2563EB"/>
          <w:sz w:val="28"/>
          <w:szCs w:val="28"/>
        </w:rPr>
        <w:t xml:space="preserve">6.1 Registrar una recepción</w:t>
      </w:r>
    </w:p>
    <w:p>
      <w:pPr>
        <w:pBdr>
          <w:top w:val="single" w:color="CBD5E1" w:sz="2"/>
          <w:bottom w:val="single" w:color="CBD5E1" w:sz="2"/>
          <w:left w:val="single" w:color="CBD5E1" w:sz="2"/>
          <w:right w:val="single" w:color="CBD5E1" w:sz="2"/>
        </w:pBdr>
        <w:shd w:fill="EEF2F7" w:color="auto" w:val="clear"/>
        <w:spacing w:after="160" w:before="120"/>
      </w:pPr>
      <w:r>
        <w:rPr>
          <w:rFonts w:ascii="Arial" w:cs="Arial" w:eastAsia="Arial" w:hAnsi="Arial"/>
          <w:b/>
          <w:bCs/>
          <w:i/>
          <w:iCs/>
          <w:color w:val="1E3A5F"/>
          <w:sz w:val="20"/>
          <w:szCs w:val="20"/>
        </w:rPr>
        <w:t xml:space="preserve">Ruta en el sistema: </w:t>
      </w:r>
      <w:r>
        <w:rPr>
          <w:rFonts w:ascii="Arial" w:cs="Arial" w:eastAsia="Arial" w:hAnsi="Arial"/>
          <w:i/>
          <w:iCs/>
          <w:color w:val="475569"/>
          <w:sz w:val="20"/>
          <w:szCs w:val="20"/>
        </w:rPr>
        <w:t xml:space="preserve">Compras → Recepción → Nueva Recepción</w:t>
      </w:r>
    </w:p>
    <w:p>
      <w:pPr>
        <w:pStyle w:val="ListParagraph"/>
        <w:numPr>
          <w:ilvl w:val="0"/>
          <w:numId w:val="10"/>
        </w:numPr>
        <w:spacing w:after="100" w:line="280"/>
      </w:pPr>
      <w:r>
        <w:rPr>
          <w:rFonts w:ascii="Arial" w:cs="Arial" w:eastAsia="Arial" w:hAnsi="Arial"/>
          <w:color w:val="1E293B"/>
          <w:sz w:val="22"/>
          <w:szCs w:val="22"/>
        </w:rPr>
        <w:t xml:space="preserve">Elige la Orden de Compra a recibir (solo se listan OC en estatus Autorizada, Enviada al Prov o Recibida Parcial).</w:t>
      </w:r>
    </w:p>
    <w:p>
      <w:pPr>
        <w:pStyle w:val="ListParagraph"/>
        <w:numPr>
          <w:ilvl w:val="0"/>
          <w:numId w:val="10"/>
        </w:numPr>
        <w:spacing w:after="100" w:line="280"/>
      </w:pPr>
      <w:r>
        <w:rPr>
          <w:rFonts w:ascii="Arial" w:cs="Arial" w:eastAsia="Arial" w:hAnsi="Arial"/>
          <w:color w:val="1E293B"/>
          <w:sz w:val="22"/>
          <w:szCs w:val="22"/>
        </w:rPr>
        <w:t xml:space="preserve">Elige el Almacén General de destino (solo se listan almacenes marcados como tipo "General" — ver capítulo 11.1).</w:t>
      </w:r>
    </w:p>
    <w:p>
      <w:pPr>
        <w:pStyle w:val="ListParagraph"/>
        <w:numPr>
          <w:ilvl w:val="0"/>
          <w:numId w:val="10"/>
        </w:numPr>
        <w:spacing w:after="100" w:line="280"/>
      </w:pPr>
      <w:r>
        <w:rPr>
          <w:rFonts w:ascii="Arial" w:cs="Arial" w:eastAsia="Arial" w:hAnsi="Arial"/>
          <w:color w:val="1E293B"/>
          <w:sz w:val="22"/>
          <w:szCs w:val="22"/>
        </w:rPr>
        <w:t xml:space="preserve">Confirma la Fecha de Recepción, el No. de Remisión/Factura del proveedor y quién Recibió.</w:t>
      </w:r>
    </w:p>
    <w:p>
      <w:pPr>
        <w:pStyle w:val="ListParagraph"/>
        <w:numPr>
          <w:ilvl w:val="0"/>
          <w:numId w:val="10"/>
        </w:numPr>
        <w:spacing w:after="100" w:line="280"/>
      </w:pPr>
      <w:r>
        <w:rPr>
          <w:rFonts w:ascii="Arial" w:cs="Arial" w:eastAsia="Arial" w:hAnsi="Arial"/>
          <w:color w:val="1E293B"/>
          <w:sz w:val="22"/>
          <w:szCs w:val="22"/>
        </w:rPr>
        <w:t xml:space="preserve">Elige el tipo de recepción: "Recepción Completa" (llega todo lo pendiente de la OC) o "Recepción Parcial" (solo parte de la mercancía).</w:t>
      </w:r>
    </w:p>
    <w:p>
      <w:pPr>
        <w:pStyle w:val="ListParagraph"/>
        <w:numPr>
          <w:ilvl w:val="0"/>
          <w:numId w:val="10"/>
        </w:numPr>
        <w:spacing w:after="100" w:line="280"/>
      </w:pPr>
      <w:r>
        <w:rPr>
          <w:rFonts w:ascii="Arial" w:cs="Arial" w:eastAsia="Arial" w:hAnsi="Arial"/>
          <w:color w:val="1E293B"/>
          <w:sz w:val="22"/>
          <w:szCs w:val="22"/>
        </w:rPr>
        <w:t xml:space="preserve">Si es Recepción Completa, el sistema precarga automáticamente la cantidad pendiente de cada producto y cerrará la OC al guardar.</w:t>
      </w:r>
    </w:p>
    <w:p>
      <w:pPr>
        <w:pStyle w:val="ListParagraph"/>
        <w:numPr>
          <w:ilvl w:val="0"/>
          <w:numId w:val="10"/>
        </w:numPr>
        <w:spacing w:after="100" w:line="280"/>
      </w:pPr>
      <w:r>
        <w:rPr>
          <w:rFonts w:ascii="Arial" w:cs="Arial" w:eastAsia="Arial" w:hAnsi="Arial"/>
          <w:color w:val="1E293B"/>
          <w:sz w:val="22"/>
          <w:szCs w:val="22"/>
        </w:rPr>
        <w:t xml:space="preserve">Si es Recepción Parcial, captura manualmente la cantidad recibida de cada producto (hasta el máximo pendiente) y luego indica si con esto la OC "Queda pendiente" (para futuras entregas) o si se debe "Cerrar OC" con lo recibido hasta ahora.</w:t>
      </w:r>
    </w:p>
    <w:p>
      <w:pPr>
        <w:pStyle w:val="ListParagraph"/>
        <w:numPr>
          <w:ilvl w:val="0"/>
          <w:numId w:val="10"/>
        </w:numPr>
        <w:spacing w:after="100" w:line="280"/>
      </w:pPr>
      <w:r>
        <w:rPr>
          <w:rFonts w:ascii="Arial" w:cs="Arial" w:eastAsia="Arial" w:hAnsi="Arial"/>
          <w:color w:val="1E293B"/>
          <w:sz w:val="22"/>
          <w:szCs w:val="22"/>
        </w:rPr>
        <w:t xml:space="preserve">Agrega notas si lo necesitas y presiona "Registrar Recepción".</w:t>
      </w:r>
    </w:p>
    <w:p>
      <w:pPr>
        <w:pStyle w:val="Heading2"/>
        <w:spacing w:after="120" w:before="360"/>
      </w:pPr>
      <w:r>
        <w:rPr>
          <w:rFonts w:ascii="Arial" w:cs="Arial" w:eastAsia="Arial" w:hAnsi="Arial"/>
          <w:b/>
          <w:bCs/>
          <w:color w:val="2563EB"/>
          <w:sz w:val="28"/>
          <w:szCs w:val="28"/>
        </w:rPr>
        <w:t xml:space="preserve">6.2 Quién puede registrar una recepción</w:t>
      </w:r>
    </w:p>
    <w:p>
      <w:pPr>
        <w:spacing w:after="160" w:line="300"/>
      </w:pPr>
      <w:r>
        <w:rPr>
          <w:rFonts w:ascii="Arial" w:cs="Arial" w:eastAsia="Arial" w:hAnsi="Arial"/>
          <w:color w:val="1E293B"/>
          <w:sz w:val="22"/>
          <w:szCs w:val="22"/>
        </w:rPr>
        <w:t xml:space="preserve">A diferencia de la mayoría de los formularios del módulo, el botón "Nueva Recepción" no depende del permiso de escritura del rol: cualquier usuario que pueda abrir la pantalla de Recepciones puede registrar una. En la práctica esto incluye a los roles Almacén, Compras, Supervisor de Compras y Administración.</w:t>
      </w:r>
    </w:p>
    <w:p>
      <w:pPr>
        <w:pStyle w:val="Heading2"/>
        <w:spacing w:after="120" w:before="360"/>
      </w:pPr>
      <w:r>
        <w:rPr>
          <w:rFonts w:ascii="Arial" w:cs="Arial" w:eastAsia="Arial" w:hAnsi="Arial"/>
          <w:b/>
          <w:bCs/>
          <w:color w:val="2563EB"/>
          <w:sz w:val="28"/>
          <w:szCs w:val="28"/>
        </w:rPr>
        <w:t xml:space="preserve">6.3 Efecto en el inventario</w:t>
      </w:r>
    </w:p>
    <w:p>
      <w:pPr>
        <w:spacing w:after="160" w:line="300"/>
      </w:pPr>
      <w:r>
        <w:rPr>
          <w:rFonts w:ascii="Arial" w:cs="Arial" w:eastAsia="Arial" w:hAnsi="Arial"/>
          <w:color w:val="1E293B"/>
          <w:sz w:val="22"/>
          <w:szCs w:val="22"/>
        </w:rPr>
        <w:t xml:space="preserve">Al guardar una recepción, por cada producto recibido que esté vinculado a un artículo del catálogo, el sistema automáticamente:</w:t>
      </w:r>
    </w:p>
    <w:p>
      <w:pPr>
        <w:pStyle w:val="ListParagraph"/>
        <w:numPr>
          <w:ilvl w:val="0"/>
          <w:numId w:val="2"/>
        </w:numPr>
        <w:spacing w:after="80" w:line="280"/>
      </w:pPr>
      <w:r>
        <w:rPr>
          <w:rFonts w:ascii="Arial" w:cs="Arial" w:eastAsia="Arial" w:hAnsi="Arial"/>
          <w:color w:val="1E293B"/>
          <w:sz w:val="22"/>
          <w:szCs w:val="22"/>
        </w:rPr>
        <w:t xml:space="preserve">Suma la cantidad recibida a la existencia de ese artículo en el almacén de destino (o crea el registro de inventario si es la primera vez que ese artículo entra a ese almacén).</w:t>
      </w:r>
    </w:p>
    <w:p>
      <w:pPr>
        <w:pStyle w:val="ListParagraph"/>
        <w:numPr>
          <w:ilvl w:val="0"/>
          <w:numId w:val="2"/>
        </w:numPr>
        <w:spacing w:after="80" w:line="280"/>
      </w:pPr>
      <w:r>
        <w:rPr>
          <w:rFonts w:ascii="Arial" w:cs="Arial" w:eastAsia="Arial" w:hAnsi="Arial"/>
          <w:color w:val="1E293B"/>
          <w:sz w:val="22"/>
          <w:szCs w:val="22"/>
        </w:rPr>
        <w:t xml:space="preserve">Actualiza el costo del artículo en ese almacén con el precio unitario de esta recepción (costo de última compra).</w:t>
      </w:r>
    </w:p>
    <w:p>
      <w:pPr>
        <w:pStyle w:val="ListParagraph"/>
        <w:numPr>
          <w:ilvl w:val="0"/>
          <w:numId w:val="2"/>
        </w:numPr>
        <w:spacing w:after="80" w:line="280"/>
      </w:pPr>
      <w:r>
        <w:rPr>
          <w:rFonts w:ascii="Arial" w:cs="Arial" w:eastAsia="Arial" w:hAnsi="Arial"/>
          <w:color w:val="1E293B"/>
          <w:sz w:val="22"/>
          <w:szCs w:val="22"/>
        </w:rPr>
        <w:t xml:space="preserve">Registra un movimiento tipo ENTRADA en el kardex del artículo, con folio de referencia igual al de la recepción.</w:t>
      </w:r>
    </w:p>
    <w:p>
      <w:pPr>
        <w:pStyle w:val="ListParagraph"/>
        <w:numPr>
          <w:ilvl w:val="0"/>
          <w:numId w:val="2"/>
        </w:numPr>
        <w:spacing w:after="80" w:line="280"/>
      </w:pPr>
      <w:r>
        <w:rPr>
          <w:rFonts w:ascii="Arial" w:cs="Arial" w:eastAsia="Arial" w:hAnsi="Arial"/>
          <w:color w:val="1E293B"/>
          <w:sz w:val="22"/>
          <w:szCs w:val="22"/>
        </w:rPr>
        <w:t xml:space="preserve">Actualiza la cantidad recibida acumulada en la partida correspondiente de la Orden de Compra.</w:t>
      </w:r>
    </w:p>
    <w:p>
      <w:pPr>
        <w:pBdr>
          <w:top w:val="single" w:color="2563EB" w:sz="4" w:space="6"/>
          <w:bottom w:val="single" w:color="2563EB" w:sz="4" w:space="6"/>
          <w:left w:val="single" w:color="2563EB" w:sz="4" w:space="6"/>
          <w:right w:val="single" w:color="2563EB" w:sz="4" w:space="6"/>
        </w:pBdr>
        <w:shd w:fill="DBEAFE" w:color="auto" w:val="clear"/>
        <w:spacing w:after="200" w:before="120"/>
        <w:ind w:left="60" w:right="60"/>
      </w:pPr>
      <w:r>
        <w:rPr>
          <w:rFonts w:ascii="Arial" w:cs="Arial" w:eastAsia="Arial" w:hAnsi="Arial"/>
          <w:b/>
          <w:bCs/>
          <w:i/>
          <w:iCs/>
          <w:color w:val="1E3A5F"/>
          <w:sz w:val="20"/>
          <w:szCs w:val="20"/>
        </w:rPr>
        <w:t xml:space="preserve">NOTA: </w:t>
      </w:r>
      <w:r>
        <w:rPr>
          <w:rFonts w:ascii="Arial" w:cs="Arial" w:eastAsia="Arial" w:hAnsi="Arial"/>
          <w:i/>
          <w:iCs/>
          <w:color w:val="1E3A5F"/>
          <w:sz w:val="20"/>
          <w:szCs w:val="20"/>
        </w:rPr>
        <w:t xml:space="preserve">Órdenes de Compra creadas antes de que el artículo estuviera correctamente vinculado en la partida (id_articulo_fk) no actualizarán el inventario automáticamente al recibirse — para esos casos específicos se requiere un ajuste manual desde Inventario (capítulo 7.3). Si notas que una recepción no movió existencias, verifica primero si el producto de esa partida está ligado al catálogo de Artículos.</w:t>
      </w:r>
    </w:p>
    <w:p>
      <w:r>
        <w:br w:type="page"/>
      </w:r>
    </w:p>
    <w:p>
      <w:pPr>
        <w:pStyle w:val="Heading1"/>
        <w:pBdr>
          <w:bottom w:val="single" w:color="2563EB" w:sz="4" w:space="4"/>
        </w:pBdr>
        <w:spacing w:after="240" w:before="480"/>
      </w:pPr>
      <w:r>
        <w:rPr>
          <w:rFonts w:ascii="Arial" w:cs="Arial" w:eastAsia="Arial" w:hAnsi="Arial"/>
          <w:b/>
          <w:bCs/>
          <w:color w:val="1E3A5F"/>
          <w:sz w:val="36"/>
          <w:szCs w:val="36"/>
        </w:rPr>
        <w:t xml:space="preserve">7. Inventario</w:t>
      </w:r>
    </w:p>
    <w:p>
      <w:pPr>
        <w:spacing w:after="160" w:line="300"/>
      </w:pPr>
      <w:r>
        <w:rPr>
          <w:rFonts w:ascii="Arial" w:cs="Arial" w:eastAsia="Arial" w:hAnsi="Arial"/>
          <w:color w:val="1E293B"/>
          <w:sz w:val="22"/>
          <w:szCs w:val="22"/>
        </w:rPr>
        <w:t xml:space="preserve">El submódulo de Inventario muestra las existencias actuales de cada artículo por almacén y su historial de movimientos (kardex).</w:t>
      </w:r>
    </w:p>
    <w:p>
      <w:pPr>
        <w:pStyle w:val="Heading2"/>
        <w:spacing w:after="120" w:before="360"/>
      </w:pPr>
      <w:r>
        <w:rPr>
          <w:rFonts w:ascii="Arial" w:cs="Arial" w:eastAsia="Arial" w:hAnsi="Arial"/>
          <w:b/>
          <w:bCs/>
          <w:color w:val="2563EB"/>
          <w:sz w:val="28"/>
          <w:szCs w:val="28"/>
        </w:rPr>
        <w:t xml:space="preserve">7.1 Consultar existencias</w:t>
      </w:r>
    </w:p>
    <w:p>
      <w:pPr>
        <w:pBdr>
          <w:top w:val="single" w:color="CBD5E1" w:sz="2"/>
          <w:bottom w:val="single" w:color="CBD5E1" w:sz="2"/>
          <w:left w:val="single" w:color="CBD5E1" w:sz="2"/>
          <w:right w:val="single" w:color="CBD5E1" w:sz="2"/>
        </w:pBdr>
        <w:shd w:fill="EEF2F7" w:color="auto" w:val="clear"/>
        <w:spacing w:after="160" w:before="120"/>
      </w:pPr>
      <w:r>
        <w:rPr>
          <w:rFonts w:ascii="Arial" w:cs="Arial" w:eastAsia="Arial" w:hAnsi="Arial"/>
          <w:b/>
          <w:bCs/>
          <w:i/>
          <w:iCs/>
          <w:color w:val="1E3A5F"/>
          <w:sz w:val="20"/>
          <w:szCs w:val="20"/>
        </w:rPr>
        <w:t xml:space="preserve">Ruta en el sistema: </w:t>
      </w:r>
      <w:r>
        <w:rPr>
          <w:rFonts w:ascii="Arial" w:cs="Arial" w:eastAsia="Arial" w:hAnsi="Arial"/>
          <w:i/>
          <w:iCs/>
          <w:color w:val="475569"/>
          <w:sz w:val="20"/>
          <w:szCs w:val="20"/>
        </w:rPr>
        <w:t xml:space="preserve">Compras → Inventario</w:t>
      </w:r>
    </w:p>
    <w:p>
      <w:pPr>
        <w:spacing w:after="160" w:line="300"/>
      </w:pPr>
      <w:r>
        <w:rPr>
          <w:rFonts w:ascii="Arial" w:cs="Arial" w:eastAsia="Arial" w:hAnsi="Arial"/>
          <w:color w:val="1E293B"/>
          <w:sz w:val="22"/>
          <w:szCs w:val="22"/>
        </w:rPr>
        <w:t xml:space="preserve">La pantalla agrupa los artículos por almacén y muestra Clave, Nombre, Unidad, Stock Mínimo, Existencia y una etiqueta "Bajo Mín." cuando la existencia es igual o menor al stock mínimo configurado en el catálogo de Artículos. Puedes filtrar por almacén y buscar por clave o nombre del artículo.</w:t>
      </w:r>
    </w:p>
    <w:p>
      <w:pPr>
        <w:pStyle w:val="Heading2"/>
        <w:spacing w:after="120" w:before="360"/>
      </w:pPr>
      <w:r>
        <w:rPr>
          <w:rFonts w:ascii="Arial" w:cs="Arial" w:eastAsia="Arial" w:hAnsi="Arial"/>
          <w:b/>
          <w:bCs/>
          <w:color w:val="2563EB"/>
          <w:sz w:val="28"/>
          <w:szCs w:val="28"/>
        </w:rPr>
        <w:t xml:space="preserve">7.2 Consultar el kardex de un artículo</w:t>
      </w:r>
    </w:p>
    <w:p>
      <w:pPr>
        <w:pStyle w:val="ListParagraph"/>
        <w:numPr>
          <w:ilvl w:val="0"/>
          <w:numId w:val="11"/>
        </w:numPr>
        <w:spacing w:after="100" w:line="280"/>
      </w:pPr>
      <w:r>
        <w:rPr>
          <w:rFonts w:ascii="Arial" w:cs="Arial" w:eastAsia="Arial" w:hAnsi="Arial"/>
          <w:color w:val="1E293B"/>
          <w:sz w:val="22"/>
          <w:szCs w:val="22"/>
        </w:rPr>
        <w:t xml:space="preserve">Presiona el ícono de ojo en la fila del artículo que quieres revisar.</w:t>
      </w:r>
    </w:p>
    <w:p>
      <w:pPr>
        <w:pStyle w:val="ListParagraph"/>
        <w:numPr>
          <w:ilvl w:val="0"/>
          <w:numId w:val="11"/>
        </w:numPr>
        <w:spacing w:after="100" w:line="280"/>
      </w:pPr>
      <w:r>
        <w:rPr>
          <w:rFonts w:ascii="Arial" w:cs="Arial" w:eastAsia="Arial" w:hAnsi="Arial"/>
          <w:color w:val="1E293B"/>
          <w:sz w:val="22"/>
          <w:szCs w:val="22"/>
        </w:rPr>
        <w:t xml:space="preserve">Se muestran los últimos 100 movimientos: fecha, tipo (Entrada, Salida, Ajuste, Transferencia Entrada, Transferencia Salida), almacén, cantidad, saldo antes y después, la referencia del documento que generó el movimiento y el usuario que lo registró.</w:t>
      </w:r>
    </w:p>
    <w:p>
      <w:pPr>
        <w:pStyle w:val="Heading2"/>
        <w:spacing w:after="120" w:before="360"/>
      </w:pPr>
      <w:r>
        <w:rPr>
          <w:rFonts w:ascii="Arial" w:cs="Arial" w:eastAsia="Arial" w:hAnsi="Arial"/>
          <w:b/>
          <w:bCs/>
          <w:color w:val="2563EB"/>
          <w:sz w:val="28"/>
          <w:szCs w:val="28"/>
        </w:rPr>
        <w:t xml:space="preserve">7.3 Registrar un movimiento manual</w:t>
      </w:r>
    </w:p>
    <w:p>
      <w:pPr>
        <w:pBdr>
          <w:top w:val="single" w:color="2563EB" w:sz="4" w:space="6"/>
          <w:bottom w:val="single" w:color="2563EB" w:sz="4" w:space="6"/>
          <w:left w:val="single" w:color="2563EB" w:sz="4" w:space="6"/>
          <w:right w:val="single" w:color="2563EB" w:sz="4" w:space="6"/>
        </w:pBdr>
        <w:shd w:fill="DBEAFE" w:color="auto" w:val="clear"/>
        <w:spacing w:after="200" w:before="120"/>
        <w:ind w:left="60" w:right="60"/>
      </w:pPr>
      <w:r>
        <w:rPr>
          <w:rFonts w:ascii="Arial" w:cs="Arial" w:eastAsia="Arial" w:hAnsi="Arial"/>
          <w:b/>
          <w:bCs/>
          <w:i/>
          <w:iCs/>
          <w:color w:val="1E3A5F"/>
          <w:sz w:val="20"/>
          <w:szCs w:val="20"/>
        </w:rPr>
        <w:t xml:space="preserve">NOTA: </w:t>
      </w:r>
      <w:r>
        <w:rPr>
          <w:rFonts w:ascii="Arial" w:cs="Arial" w:eastAsia="Arial" w:hAnsi="Arial"/>
          <w:i/>
          <w:iCs/>
          <w:color w:val="1E3A5F"/>
          <w:sz w:val="20"/>
          <w:szCs w:val="20"/>
        </w:rPr>
        <w:t xml:space="preserve">El botón "Agregar Movimiento" solo aparece para los roles Superadmin y Administrador. Otros roles con acceso a Inventario (por ejemplo Almacén) pueden consultar existencias y kardex, pero no capturar movimientos manuales desde esta pantalla.</w:t>
      </w:r>
    </w:p>
    <w:p>
      <w:pPr>
        <w:pStyle w:val="ListParagraph"/>
        <w:numPr>
          <w:ilvl w:val="0"/>
          <w:numId w:val="12"/>
        </w:numPr>
        <w:spacing w:after="100" w:line="280"/>
      </w:pPr>
      <w:r>
        <w:rPr>
          <w:rFonts w:ascii="Arial" w:cs="Arial" w:eastAsia="Arial" w:hAnsi="Arial"/>
          <w:color w:val="1E293B"/>
          <w:sz w:val="22"/>
          <w:szCs w:val="22"/>
        </w:rPr>
        <w:t xml:space="preserve">Presiona "Agregar Movimiento".</w:t>
      </w:r>
    </w:p>
    <w:p>
      <w:pPr>
        <w:pStyle w:val="ListParagraph"/>
        <w:numPr>
          <w:ilvl w:val="0"/>
          <w:numId w:val="12"/>
        </w:numPr>
        <w:spacing w:after="100" w:line="280"/>
      </w:pPr>
      <w:r>
        <w:rPr>
          <w:rFonts w:ascii="Arial" w:cs="Arial" w:eastAsia="Arial" w:hAnsi="Arial"/>
          <w:color w:val="1E293B"/>
          <w:sz w:val="22"/>
          <w:szCs w:val="22"/>
        </w:rPr>
        <w:t xml:space="preserve">Elige el tipo: Entrada (suma al stock existente), Salida (resta del stock; el sistema no permite salidas mayores a la existencia actual) o Ajuste (corrige la existencia a un valor absoluto, útil después de un conteo físico).</w:t>
      </w:r>
    </w:p>
    <w:p>
      <w:pPr>
        <w:pStyle w:val="ListParagraph"/>
        <w:numPr>
          <w:ilvl w:val="0"/>
          <w:numId w:val="12"/>
        </w:numPr>
        <w:spacing w:after="100" w:line="280"/>
      </w:pPr>
      <w:r>
        <w:rPr>
          <w:rFonts w:ascii="Arial" w:cs="Arial" w:eastAsia="Arial" w:hAnsi="Arial"/>
          <w:color w:val="1E293B"/>
          <w:sz w:val="22"/>
          <w:szCs w:val="22"/>
        </w:rPr>
        <w:t xml:space="preserve">Elige el Almacén y busca el Artículo por clave o nombre.</w:t>
      </w:r>
    </w:p>
    <w:p>
      <w:pPr>
        <w:pStyle w:val="ListParagraph"/>
        <w:numPr>
          <w:ilvl w:val="0"/>
          <w:numId w:val="12"/>
        </w:numPr>
        <w:spacing w:after="100" w:line="280"/>
      </w:pPr>
      <w:r>
        <w:rPr>
          <w:rFonts w:ascii="Arial" w:cs="Arial" w:eastAsia="Arial" w:hAnsi="Arial"/>
          <w:color w:val="1E293B"/>
          <w:sz w:val="22"/>
          <w:szCs w:val="22"/>
        </w:rPr>
        <w:t xml:space="preserve">Captura la Cantidad (en Ajuste, este campo es la nueva existencia total, no una diferencia).</w:t>
      </w:r>
    </w:p>
    <w:p>
      <w:pPr>
        <w:pStyle w:val="ListParagraph"/>
        <w:numPr>
          <w:ilvl w:val="0"/>
          <w:numId w:val="12"/>
        </w:numPr>
        <w:spacing w:after="100" w:line="280"/>
      </w:pPr>
      <w:r>
        <w:rPr>
          <w:rFonts w:ascii="Arial" w:cs="Arial" w:eastAsia="Arial" w:hAnsi="Arial"/>
          <w:color w:val="1E293B"/>
          <w:sz w:val="22"/>
          <w:szCs w:val="22"/>
        </w:rPr>
        <w:t xml:space="preserve">Si el movimiento es una Entrada, puedes capturar el Costo Unitario, que se guardará como el costo de última compra del artículo en ese almacén.</w:t>
      </w:r>
    </w:p>
    <w:p>
      <w:pPr>
        <w:pStyle w:val="ListParagraph"/>
        <w:numPr>
          <w:ilvl w:val="0"/>
          <w:numId w:val="12"/>
        </w:numPr>
        <w:spacing w:after="100" w:line="280"/>
      </w:pPr>
      <w:r>
        <w:rPr>
          <w:rFonts w:ascii="Arial" w:cs="Arial" w:eastAsia="Arial" w:hAnsi="Arial"/>
          <w:color w:val="1E293B"/>
          <w:sz w:val="22"/>
          <w:szCs w:val="22"/>
        </w:rPr>
        <w:t xml:space="preserve">Agrega Folio/Referencia y Notas si lo necesitas, y presiona "Registrar".</w:t>
      </w:r>
    </w:p>
    <w:p>
      <w:r>
        <w:br w:type="page"/>
      </w:r>
    </w:p>
    <w:p>
      <w:pPr>
        <w:pStyle w:val="Heading1"/>
        <w:pBdr>
          <w:bottom w:val="single" w:color="2563EB" w:sz="4" w:space="4"/>
        </w:pBdr>
        <w:spacing w:after="240" w:before="480"/>
      </w:pPr>
      <w:r>
        <w:rPr>
          <w:rFonts w:ascii="Arial" w:cs="Arial" w:eastAsia="Arial" w:hAnsi="Arial"/>
          <w:b/>
          <w:bCs/>
          <w:color w:val="1E3A5F"/>
          <w:sz w:val="36"/>
          <w:szCs w:val="36"/>
        </w:rPr>
        <w:t xml:space="preserve">8. Transferencias entre Almacenes</w:t>
      </w:r>
    </w:p>
    <w:p>
      <w:pPr>
        <w:spacing w:after="160" w:line="300"/>
      </w:pPr>
      <w:r>
        <w:rPr>
          <w:rFonts w:ascii="Arial" w:cs="Arial" w:eastAsia="Arial" w:hAnsi="Arial"/>
          <w:color w:val="1E293B"/>
          <w:sz w:val="22"/>
          <w:szCs w:val="22"/>
        </w:rPr>
        <w:t xml:space="preserve">Las Transferencias mueven artículos de un almacén a otro dentro de la organización, siguiendo un proceso de 4 pasos, cada uno realizado por un rol distinto.</w:t>
      </w:r>
    </w:p>
    <w:p>
      <w:pPr>
        <w:pStyle w:val="Heading2"/>
        <w:spacing w:after="120" w:before="360"/>
      </w:pPr>
      <w:r>
        <w:rPr>
          <w:rFonts w:ascii="Arial" w:cs="Arial" w:eastAsia="Arial" w:hAnsi="Arial"/>
          <w:b/>
          <w:bCs/>
          <w:color w:val="2563EB"/>
          <w:sz w:val="28"/>
          <w:szCs w:val="28"/>
        </w:rPr>
        <w:t xml:space="preserve">8.1 Los cuatro pasos del proceso</w:t>
      </w:r>
    </w:p>
    <w:tbl>
      <w:tblPr>
        <w:tblW w:type="dxa" w:w="8400"/>
        <w:tblBorders>
          <w:top w:val="single" w:color="CBD5E1" w:sz="2"/>
          <w:left w:val="single" w:color="CBD5E1" w:sz="2"/>
          <w:bottom w:val="single" w:color="CBD5E1" w:sz="2"/>
          <w:right w:val="single" w:color="CBD5E1" w:sz="2"/>
          <w:insideH w:val="single" w:color="E2E8F0" w:sz="2"/>
          <w:insideV w:val="single" w:color="E2E8F0" w:sz="2"/>
        </w:tblBorders>
      </w:tblPr>
      <w:tblGrid>
        <w:gridCol w:w="1500"/>
        <w:gridCol w:w="2800"/>
        <w:gridCol w:w="4100"/>
      </w:tblGrid>
      <w:tr>
        <w:trPr>
          <w:cantSplit/>
          <w:tblHeader/>
        </w:trPr>
        <w:tc>
          <w:tcPr>
            <w:tcW w:type="dxa" w:w="1500"/>
            <w:shd w:fill="1E3A5F" w:color="auto" w:val="clear"/>
            <w:tcMar>
              <w:top w:type="dxa" w:w="60"/>
              <w:left w:type="dxa" w:w="100"/>
              <w:bottom w:type="dxa" w:w="60"/>
              <w:right w:type="dxa" w:w="100"/>
            </w:tcMar>
            <w:vAlign w:val="center"/>
          </w:tcPr>
          <w:p>
            <w:pPr>
              <w:spacing w:after="40" w:before="40"/>
            </w:pPr>
            <w:r>
              <w:rPr>
                <w:rFonts w:ascii="Arial" w:cs="Arial" w:eastAsia="Arial" w:hAnsi="Arial"/>
                <w:b/>
                <w:bCs/>
                <w:i w:val="false"/>
                <w:iCs w:val="false"/>
                <w:color w:val="FFFFFF"/>
                <w:sz w:val="19"/>
                <w:szCs w:val="19"/>
              </w:rPr>
              <w:t xml:space="preserve">Paso</w:t>
            </w:r>
          </w:p>
        </w:tc>
        <w:tc>
          <w:tcPr>
            <w:tcW w:type="dxa" w:w="2800"/>
            <w:shd w:fill="1E3A5F" w:color="auto" w:val="clear"/>
            <w:tcMar>
              <w:top w:type="dxa" w:w="60"/>
              <w:left w:type="dxa" w:w="100"/>
              <w:bottom w:type="dxa" w:w="60"/>
              <w:right w:type="dxa" w:w="100"/>
            </w:tcMar>
            <w:vAlign w:val="center"/>
          </w:tcPr>
          <w:p>
            <w:pPr>
              <w:spacing w:after="40" w:before="40"/>
            </w:pPr>
            <w:r>
              <w:rPr>
                <w:rFonts w:ascii="Arial" w:cs="Arial" w:eastAsia="Arial" w:hAnsi="Arial"/>
                <w:b/>
                <w:bCs/>
                <w:i w:val="false"/>
                <w:iCs w:val="false"/>
                <w:color w:val="FFFFFF"/>
                <w:sz w:val="19"/>
                <w:szCs w:val="19"/>
              </w:rPr>
              <w:t xml:space="preserve">Quién lo realiza</w:t>
            </w:r>
          </w:p>
        </w:tc>
        <w:tc>
          <w:tcPr>
            <w:tcW w:type="dxa" w:w="4100"/>
            <w:shd w:fill="1E3A5F" w:color="auto" w:val="clear"/>
            <w:tcMar>
              <w:top w:type="dxa" w:w="60"/>
              <w:left w:type="dxa" w:w="100"/>
              <w:bottom w:type="dxa" w:w="60"/>
              <w:right w:type="dxa" w:w="100"/>
            </w:tcMar>
            <w:vAlign w:val="center"/>
          </w:tcPr>
          <w:p>
            <w:pPr>
              <w:spacing w:after="40" w:before="40"/>
            </w:pPr>
            <w:r>
              <w:rPr>
                <w:rFonts w:ascii="Arial" w:cs="Arial" w:eastAsia="Arial" w:hAnsi="Arial"/>
                <w:b/>
                <w:bCs/>
                <w:i w:val="false"/>
                <w:iCs w:val="false"/>
                <w:color w:val="FFFFFF"/>
                <w:sz w:val="19"/>
                <w:szCs w:val="19"/>
              </w:rPr>
              <w:t xml:space="preserve">Qué ocurre</w:t>
            </w:r>
          </w:p>
        </w:tc>
      </w:tr>
      <w:tr>
        <w:trPr>
          <w:cantSplit/>
        </w:trPr>
        <w:tc>
          <w:tcPr>
            <w:tcW w:type="dxa" w:w="15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1. Solicitud</w:t>
            </w:r>
          </w:p>
        </w:tc>
        <w:tc>
          <w:tcPr>
            <w:tcW w:type="dxa" w:w="28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Cualquier rol con acceso a Transferencias</w:t>
            </w:r>
          </w:p>
        </w:tc>
        <w:tc>
          <w:tcPr>
            <w:tcW w:type="dxa" w:w="41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Se captura la solicitud: almacenes de origen y destino, área solicitante y artículos con cantidad. Estatus inicial: Solicitada.</w:t>
            </w:r>
          </w:p>
        </w:tc>
      </w:tr>
      <w:tr>
        <w:trPr>
          <w:cantSplit/>
        </w:trPr>
        <w:tc>
          <w:tcPr>
            <w:tcW w:type="dxa" w:w="15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2. Autorización</w:t>
            </w:r>
          </w:p>
        </w:tc>
        <w:tc>
          <w:tcPr>
            <w:tcW w:type="dxa" w:w="28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Roles con permiso de autorización (capítulo 2.3)</w:t>
            </w:r>
          </w:p>
        </w:tc>
        <w:tc>
          <w:tcPr>
            <w:tcW w:type="dxa" w:w="41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Se aprueba o rechaza la solicitud. Estatus: Autorizada o Rechazada.</w:t>
            </w:r>
          </w:p>
        </w:tc>
      </w:tr>
      <w:tr>
        <w:trPr>
          <w:cantSplit/>
        </w:trPr>
        <w:tc>
          <w:tcPr>
            <w:tcW w:type="dxa" w:w="15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3. Despacho</w:t>
            </w:r>
          </w:p>
        </w:tc>
        <w:tc>
          <w:tcPr>
            <w:tcW w:type="dxa" w:w="28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Rol Almacén (o Superadmin/Administrador/Supervisor de Compras)</w:t>
            </w:r>
          </w:p>
        </w:tc>
        <w:tc>
          <w:tcPr>
            <w:tcW w:type="dxa" w:w="41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El almacenista ajusta, si hace falta, la cantidad realmente despachada por artículo y confirma el envío físico. Estatus: Enviada. El inventario todavía NO se mueve en este paso.</w:t>
            </w:r>
          </w:p>
        </w:tc>
      </w:tr>
      <w:tr>
        <w:trPr>
          <w:cantSplit/>
        </w:trPr>
        <w:tc>
          <w:tcPr>
            <w:tcW w:type="dxa" w:w="15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4. Recepción</w:t>
            </w:r>
          </w:p>
        </w:tc>
        <w:tc>
          <w:tcPr>
            <w:tcW w:type="dxa" w:w="28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Actualmente, cualquier usuario que abra el detalle puede confirmar</w:t>
            </w:r>
          </w:p>
        </w:tc>
        <w:tc>
          <w:tcPr>
            <w:tcW w:type="dxa" w:w="41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Se confirma que la mercancía llegó al almacén destino. Aquí es cuando el inventario se actualiza: se descuenta del almacén origen y se acredita al destino. Estatus: Completada.</w:t>
            </w:r>
          </w:p>
        </w:tc>
      </w:tr>
    </w:tbl>
    <w:p>
      <w:pPr>
        <w:pBdr>
          <w:top w:val="single" w:color="2563EB" w:sz="4" w:space="6"/>
          <w:bottom w:val="single" w:color="2563EB" w:sz="4" w:space="6"/>
          <w:left w:val="single" w:color="2563EB" w:sz="4" w:space="6"/>
          <w:right w:val="single" w:color="2563EB" w:sz="4" w:space="6"/>
        </w:pBdr>
        <w:shd w:fill="DBEAFE" w:color="auto" w:val="clear"/>
        <w:spacing w:after="200" w:before="120"/>
        <w:ind w:left="60" w:right="60"/>
      </w:pPr>
      <w:r>
        <w:rPr>
          <w:rFonts w:ascii="Arial" w:cs="Arial" w:eastAsia="Arial" w:hAnsi="Arial"/>
          <w:b/>
          <w:bCs/>
          <w:i/>
          <w:iCs/>
          <w:color w:val="1E3A5F"/>
          <w:sz w:val="20"/>
          <w:szCs w:val="20"/>
        </w:rPr>
        <w:t xml:space="preserve">NOTA: </w:t>
      </w:r>
      <w:r>
        <w:rPr>
          <w:rFonts w:ascii="Arial" w:cs="Arial" w:eastAsia="Arial" w:hAnsi="Arial"/>
          <w:i/>
          <w:iCs/>
          <w:color w:val="1E3A5F"/>
          <w:sz w:val="20"/>
          <w:szCs w:val="20"/>
        </w:rPr>
        <w:t xml:space="preserve">El paso 4 (confirmar recepción) no está restringido a un rol específico en este momento: cualquier usuario que pueda abrir el detalle de la transferencia puede confirmarla, no solo el solicitante original.</w:t>
      </w:r>
    </w:p>
    <w:p>
      <w:pPr>
        <w:pStyle w:val="Heading2"/>
        <w:spacing w:after="120" w:before="360"/>
      </w:pPr>
      <w:r>
        <w:rPr>
          <w:rFonts w:ascii="Arial" w:cs="Arial" w:eastAsia="Arial" w:hAnsi="Arial"/>
          <w:b/>
          <w:bCs/>
          <w:color w:val="2563EB"/>
          <w:sz w:val="28"/>
          <w:szCs w:val="28"/>
        </w:rPr>
        <w:t xml:space="preserve">8.2 Solicitar una transferencia</w:t>
      </w:r>
    </w:p>
    <w:p>
      <w:pPr>
        <w:pBdr>
          <w:top w:val="single" w:color="CBD5E1" w:sz="2"/>
          <w:bottom w:val="single" w:color="CBD5E1" w:sz="2"/>
          <w:left w:val="single" w:color="CBD5E1" w:sz="2"/>
          <w:right w:val="single" w:color="CBD5E1" w:sz="2"/>
        </w:pBdr>
        <w:shd w:fill="EEF2F7" w:color="auto" w:val="clear"/>
        <w:spacing w:after="160" w:before="120"/>
      </w:pPr>
      <w:r>
        <w:rPr>
          <w:rFonts w:ascii="Arial" w:cs="Arial" w:eastAsia="Arial" w:hAnsi="Arial"/>
          <w:b/>
          <w:bCs/>
          <w:i/>
          <w:iCs/>
          <w:color w:val="1E3A5F"/>
          <w:sz w:val="20"/>
          <w:szCs w:val="20"/>
        </w:rPr>
        <w:t xml:space="preserve">Ruta en el sistema: </w:t>
      </w:r>
      <w:r>
        <w:rPr>
          <w:rFonts w:ascii="Arial" w:cs="Arial" w:eastAsia="Arial" w:hAnsi="Arial"/>
          <w:i/>
          <w:iCs/>
          <w:color w:val="475569"/>
          <w:sz w:val="20"/>
          <w:szCs w:val="20"/>
        </w:rPr>
        <w:t xml:space="preserve">Compras → Transferencias → Nueva Solicitud</w:t>
      </w:r>
    </w:p>
    <w:p>
      <w:pPr>
        <w:pStyle w:val="ListParagraph"/>
        <w:numPr>
          <w:ilvl w:val="0"/>
          <w:numId w:val="13"/>
        </w:numPr>
        <w:spacing w:after="100" w:line="280"/>
      </w:pPr>
      <w:r>
        <w:rPr>
          <w:rFonts w:ascii="Arial" w:cs="Arial" w:eastAsia="Arial" w:hAnsi="Arial"/>
          <w:color w:val="1E293B"/>
          <w:sz w:val="22"/>
          <w:szCs w:val="22"/>
        </w:rPr>
        <w:t xml:space="preserve">Elige el Almacén Origen y el Almacén Destino (deben ser diferentes).</w:t>
      </w:r>
    </w:p>
    <w:p>
      <w:pPr>
        <w:pStyle w:val="ListParagraph"/>
        <w:numPr>
          <w:ilvl w:val="0"/>
          <w:numId w:val="13"/>
        </w:numPr>
        <w:spacing w:after="100" w:line="280"/>
      </w:pPr>
      <w:r>
        <w:rPr>
          <w:rFonts w:ascii="Arial" w:cs="Arial" w:eastAsia="Arial" w:hAnsi="Arial"/>
          <w:color w:val="1E293B"/>
          <w:sz w:val="22"/>
          <w:szCs w:val="22"/>
        </w:rPr>
        <w:t xml:space="preserve">Elige el Área Solicitante y confirma el nombre del Solicitante.</w:t>
      </w:r>
    </w:p>
    <w:p>
      <w:pPr>
        <w:pStyle w:val="ListParagraph"/>
        <w:numPr>
          <w:ilvl w:val="0"/>
          <w:numId w:val="13"/>
        </w:numPr>
        <w:spacing w:after="100" w:line="280"/>
      </w:pPr>
      <w:r>
        <w:rPr>
          <w:rFonts w:ascii="Arial" w:cs="Arial" w:eastAsia="Arial" w:hAnsi="Arial"/>
          <w:color w:val="1E293B"/>
          <w:sz w:val="22"/>
          <w:szCs w:val="22"/>
        </w:rPr>
        <w:t xml:space="preserve">Escribe la Justificación si lo deseas.</w:t>
      </w:r>
    </w:p>
    <w:p>
      <w:pPr>
        <w:pStyle w:val="ListParagraph"/>
        <w:numPr>
          <w:ilvl w:val="0"/>
          <w:numId w:val="13"/>
        </w:numPr>
        <w:spacing w:after="100" w:line="280"/>
      </w:pPr>
      <w:r>
        <w:rPr>
          <w:rFonts w:ascii="Arial" w:cs="Arial" w:eastAsia="Arial" w:hAnsi="Arial"/>
          <w:color w:val="1E293B"/>
          <w:sz w:val="22"/>
          <w:szCs w:val="22"/>
        </w:rPr>
        <w:t xml:space="preserve">Agrega cada artículo con su Cantidad y Unidad. Al elegir el almacén origen, el sistema muestra el saldo disponible de cada artículo ahí; si la cantidad solicitada supera el saldo, se muestra una advertencia visual, pero esto no bloquea el envío de la solicitud.</w:t>
      </w:r>
    </w:p>
    <w:p>
      <w:pPr>
        <w:pStyle w:val="ListParagraph"/>
        <w:numPr>
          <w:ilvl w:val="0"/>
          <w:numId w:val="13"/>
        </w:numPr>
        <w:spacing w:after="100" w:line="280"/>
      </w:pPr>
      <w:r>
        <w:rPr>
          <w:rFonts w:ascii="Arial" w:cs="Arial" w:eastAsia="Arial" w:hAnsi="Arial"/>
          <w:color w:val="1E293B"/>
          <w:sz w:val="22"/>
          <w:szCs w:val="22"/>
        </w:rPr>
        <w:t xml:space="preserve">Presiona "Enviar Solicitud".</w:t>
      </w:r>
    </w:p>
    <w:p>
      <w:pPr>
        <w:pStyle w:val="Heading2"/>
        <w:spacing w:after="120" w:before="360"/>
      </w:pPr>
      <w:r>
        <w:rPr>
          <w:rFonts w:ascii="Arial" w:cs="Arial" w:eastAsia="Arial" w:hAnsi="Arial"/>
          <w:b/>
          <w:bCs/>
          <w:color w:val="2563EB"/>
          <w:sz w:val="28"/>
          <w:szCs w:val="28"/>
        </w:rPr>
        <w:t xml:space="preserve">8.3 Autorizar, despachar y recibir</w:t>
      </w:r>
    </w:p>
    <w:p>
      <w:pPr>
        <w:spacing w:after="160" w:line="300"/>
      </w:pPr>
      <w:r>
        <w:rPr>
          <w:rFonts w:ascii="Arial" w:cs="Arial" w:eastAsia="Arial" w:hAnsi="Arial"/>
          <w:color w:val="1E293B"/>
          <w:sz w:val="22"/>
          <w:szCs w:val="22"/>
        </w:rPr>
        <w:t xml:space="preserve">Desde el detalle de la transferencia, según el estatus y tu rol, verás el bloque correspondiente al paso siguiente:</w:t>
      </w:r>
    </w:p>
    <w:p>
      <w:pPr>
        <w:pStyle w:val="ListParagraph"/>
        <w:numPr>
          <w:ilvl w:val="0"/>
          <w:numId w:val="2"/>
        </w:numPr>
        <w:spacing w:after="80" w:line="280"/>
      </w:pPr>
      <w:r>
        <w:rPr>
          <w:rFonts w:ascii="Arial" w:cs="Arial" w:eastAsia="Arial" w:hAnsi="Arial"/>
          <w:color w:val="1E293B"/>
          <w:sz w:val="22"/>
          <w:szCs w:val="22"/>
        </w:rPr>
        <w:t xml:space="preserve">Con estatus Solicitada y permiso de autorización: botones "Autorizar Transferencia" o "Rechazar" (con motivo).</w:t>
      </w:r>
    </w:p>
    <w:p>
      <w:pPr>
        <w:pStyle w:val="ListParagraph"/>
        <w:numPr>
          <w:ilvl w:val="0"/>
          <w:numId w:val="2"/>
        </w:numPr>
        <w:spacing w:after="80" w:line="280"/>
      </w:pPr>
      <w:r>
        <w:rPr>
          <w:rFonts w:ascii="Arial" w:cs="Arial" w:eastAsia="Arial" w:hAnsi="Arial"/>
          <w:color w:val="1E293B"/>
          <w:sz w:val="22"/>
          <w:szCs w:val="22"/>
        </w:rPr>
        <w:t xml:space="preserve">Con estatus Autorizada y rol de almacenista: puedes ajustar la cantidad enviada por artículo, imprimir el "Vale de Transferencia" y presionar "Confirmar Despacho".</w:t>
      </w:r>
    </w:p>
    <w:p>
      <w:pPr>
        <w:pStyle w:val="ListParagraph"/>
        <w:numPr>
          <w:ilvl w:val="0"/>
          <w:numId w:val="2"/>
        </w:numPr>
        <w:spacing w:after="80" w:line="280"/>
      </w:pPr>
      <w:r>
        <w:rPr>
          <w:rFonts w:ascii="Arial" w:cs="Arial" w:eastAsia="Arial" w:hAnsi="Arial"/>
          <w:color w:val="1E293B"/>
          <w:sz w:val="22"/>
          <w:szCs w:val="22"/>
        </w:rPr>
        <w:t xml:space="preserve">Con estatus Enviada: botón "Confirmar Recepción de Mercancía", que mueve el inventario del origen al destino y cierra la transferencia.</w:t>
      </w:r>
    </w:p>
    <w:p>
      <w:pPr>
        <w:spacing w:after="160" w:line="300"/>
      </w:pPr>
      <w:r>
        <w:rPr>
          <w:rFonts w:ascii="Arial" w:cs="Arial" w:eastAsia="Arial" w:hAnsi="Arial"/>
          <w:color w:val="1E293B"/>
          <w:sz w:val="22"/>
          <w:szCs w:val="22"/>
        </w:rPr>
        <w:t xml:space="preserve">El Vale de Transferencia impreso incluye los productos solicitados y despachados, y espacios de firma para quien Autorizó, quien Despachó y quien Recibió conforme.</w:t>
      </w:r>
    </w:p>
    <w:p>
      <w:r>
        <w:br w:type="page"/>
      </w:r>
    </w:p>
    <w:p>
      <w:pPr>
        <w:pStyle w:val="Heading1"/>
        <w:pBdr>
          <w:bottom w:val="single" w:color="2563EB" w:sz="4" w:space="4"/>
        </w:pBdr>
        <w:spacing w:after="240" w:before="480"/>
      </w:pPr>
      <w:r>
        <w:rPr>
          <w:rFonts w:ascii="Arial" w:cs="Arial" w:eastAsia="Arial" w:hAnsi="Arial"/>
          <w:b/>
          <w:bCs/>
          <w:color w:val="1E3A5F"/>
          <w:sz w:val="36"/>
          <w:szCs w:val="36"/>
        </w:rPr>
        <w:t xml:space="preserve">9. Proveedores</w:t>
      </w:r>
    </w:p>
    <w:p>
      <w:pPr>
        <w:spacing w:after="160" w:line="300"/>
      </w:pPr>
      <w:r>
        <w:rPr>
          <w:rFonts w:ascii="Arial" w:cs="Arial" w:eastAsia="Arial" w:hAnsi="Arial"/>
          <w:color w:val="1E293B"/>
          <w:sz w:val="22"/>
          <w:szCs w:val="22"/>
        </w:rPr>
        <w:t xml:space="preserve">El catálogo de Proveedores concentra los datos fiscales, de contacto, bancarios y los documentos legales de cada proveedor con el que trabaja la organización.</w:t>
      </w:r>
    </w:p>
    <w:p>
      <w:pPr>
        <w:pStyle w:val="Heading2"/>
        <w:spacing w:after="120" w:before="360"/>
      </w:pPr>
      <w:r>
        <w:rPr>
          <w:rFonts w:ascii="Arial" w:cs="Arial" w:eastAsia="Arial" w:hAnsi="Arial"/>
          <w:b/>
          <w:bCs/>
          <w:color w:val="2563EB"/>
          <w:sz w:val="28"/>
          <w:szCs w:val="28"/>
        </w:rPr>
        <w:t xml:space="preserve">9.1 Alta de un proveedor</w:t>
      </w:r>
    </w:p>
    <w:p>
      <w:pPr>
        <w:pBdr>
          <w:top w:val="single" w:color="CBD5E1" w:sz="2"/>
          <w:bottom w:val="single" w:color="CBD5E1" w:sz="2"/>
          <w:left w:val="single" w:color="CBD5E1" w:sz="2"/>
          <w:right w:val="single" w:color="CBD5E1" w:sz="2"/>
        </w:pBdr>
        <w:shd w:fill="EEF2F7" w:color="auto" w:val="clear"/>
        <w:spacing w:after="160" w:before="120"/>
      </w:pPr>
      <w:r>
        <w:rPr>
          <w:rFonts w:ascii="Arial" w:cs="Arial" w:eastAsia="Arial" w:hAnsi="Arial"/>
          <w:b/>
          <w:bCs/>
          <w:i/>
          <w:iCs/>
          <w:color w:val="1E3A5F"/>
          <w:sz w:val="20"/>
          <w:szCs w:val="20"/>
        </w:rPr>
        <w:t xml:space="preserve">Ruta en el sistema: </w:t>
      </w:r>
      <w:r>
        <w:rPr>
          <w:rFonts w:ascii="Arial" w:cs="Arial" w:eastAsia="Arial" w:hAnsi="Arial"/>
          <w:i/>
          <w:iCs/>
          <w:color w:val="475569"/>
          <w:sz w:val="20"/>
          <w:szCs w:val="20"/>
        </w:rPr>
        <w:t xml:space="preserve">Compras → Proveedores → Nuevo Proveedor</w:t>
      </w:r>
    </w:p>
    <w:p>
      <w:pPr>
        <w:pStyle w:val="ListParagraph"/>
        <w:numPr>
          <w:ilvl w:val="0"/>
          <w:numId w:val="14"/>
        </w:numPr>
        <w:spacing w:after="100" w:line="280"/>
      </w:pPr>
      <w:r>
        <w:rPr>
          <w:rFonts w:ascii="Arial" w:cs="Arial" w:eastAsia="Arial" w:hAnsi="Arial"/>
          <w:color w:val="1E293B"/>
          <w:sz w:val="22"/>
          <w:szCs w:val="22"/>
        </w:rPr>
        <w:t xml:space="preserve">En la pestaña "Datos Generales" captura Nombre, Razón Social y RFC. El sistema valida en tiempo real que el RFC no esté ya registrado en otro proveedor y bloquea el guardado si detecta un duplicado.</w:t>
      </w:r>
    </w:p>
    <w:p>
      <w:pPr>
        <w:pStyle w:val="ListParagraph"/>
        <w:numPr>
          <w:ilvl w:val="0"/>
          <w:numId w:val="14"/>
        </w:numPr>
        <w:spacing w:after="100" w:line="280"/>
      </w:pPr>
      <w:r>
        <w:rPr>
          <w:rFonts w:ascii="Arial" w:cs="Arial" w:eastAsia="Arial" w:hAnsi="Arial"/>
          <w:color w:val="1E293B"/>
          <w:sz w:val="22"/>
          <w:szCs w:val="22"/>
        </w:rPr>
        <w:t xml:space="preserve">Captura Contacto, Teléfono y Correo.</w:t>
      </w:r>
    </w:p>
    <w:p>
      <w:pPr>
        <w:pStyle w:val="ListParagraph"/>
        <w:numPr>
          <w:ilvl w:val="0"/>
          <w:numId w:val="14"/>
        </w:numPr>
        <w:spacing w:after="100" w:line="280"/>
      </w:pPr>
      <w:r>
        <w:rPr>
          <w:rFonts w:ascii="Arial" w:cs="Arial" w:eastAsia="Arial" w:hAnsi="Arial"/>
          <w:color w:val="1E293B"/>
          <w:sz w:val="22"/>
          <w:szCs w:val="22"/>
        </w:rPr>
        <w:t xml:space="preserve">Captura el Domicilio (calle, colonia, ciudad, estado, código postal).</w:t>
      </w:r>
    </w:p>
    <w:p>
      <w:pPr>
        <w:pStyle w:val="ListParagraph"/>
        <w:numPr>
          <w:ilvl w:val="0"/>
          <w:numId w:val="14"/>
        </w:numPr>
        <w:spacing w:after="100" w:line="280"/>
      </w:pPr>
      <w:r>
        <w:rPr>
          <w:rFonts w:ascii="Arial" w:cs="Arial" w:eastAsia="Arial" w:hAnsi="Arial"/>
          <w:color w:val="1E293B"/>
          <w:sz w:val="22"/>
          <w:szCs w:val="22"/>
        </w:rPr>
        <w:t xml:space="preserve">Captura los Datos Bancarios (Banco y CLABE) y las Condiciones de Pago habituales de este proveedor.</w:t>
      </w:r>
    </w:p>
    <w:p>
      <w:pPr>
        <w:pStyle w:val="ListParagraph"/>
        <w:numPr>
          <w:ilvl w:val="0"/>
          <w:numId w:val="14"/>
        </w:numPr>
        <w:spacing w:after="100" w:line="280"/>
      </w:pPr>
      <w:r>
        <w:rPr>
          <w:rFonts w:ascii="Arial" w:cs="Arial" w:eastAsia="Arial" w:hAnsi="Arial"/>
          <w:color w:val="1E293B"/>
          <w:sz w:val="22"/>
          <w:szCs w:val="22"/>
        </w:rPr>
        <w:t xml:space="preserve">Marca "Empresa interna" si el proveedor pertenece al mismo grupo empresarial.</w:t>
      </w:r>
    </w:p>
    <w:p>
      <w:pPr>
        <w:pStyle w:val="ListParagraph"/>
        <w:numPr>
          <w:ilvl w:val="0"/>
          <w:numId w:val="14"/>
        </w:numPr>
        <w:spacing w:after="100" w:line="280"/>
      </w:pPr>
      <w:r>
        <w:rPr>
          <w:rFonts w:ascii="Arial" w:cs="Arial" w:eastAsia="Arial" w:hAnsi="Arial"/>
          <w:color w:val="1E293B"/>
          <w:sz w:val="22"/>
          <w:szCs w:val="22"/>
        </w:rPr>
        <w:t xml:space="preserve">Presiona "Guardar". La Clave del proveedor se asigna automáticamente.</w:t>
      </w:r>
    </w:p>
    <w:p>
      <w:pPr>
        <w:pStyle w:val="Heading2"/>
        <w:spacing w:after="120" w:before="360"/>
      </w:pPr>
      <w:r>
        <w:rPr>
          <w:rFonts w:ascii="Arial" w:cs="Arial" w:eastAsia="Arial" w:hAnsi="Arial"/>
          <w:b/>
          <w:bCs/>
          <w:color w:val="2563EB"/>
          <w:sz w:val="28"/>
          <w:szCs w:val="28"/>
        </w:rPr>
        <w:t xml:space="preserve">9.2 Documentos fiscales</w:t>
      </w:r>
    </w:p>
    <w:p>
      <w:pPr>
        <w:spacing w:after="160" w:line="300"/>
      </w:pPr>
      <w:r>
        <w:rPr>
          <w:rFonts w:ascii="Arial" w:cs="Arial" w:eastAsia="Arial" w:hAnsi="Arial"/>
          <w:color w:val="1E293B"/>
          <w:sz w:val="22"/>
          <w:szCs w:val="22"/>
        </w:rPr>
        <w:t xml:space="preserve">En la pestaña "Documentos Fiscales" puedes adjuntar hasta 6 documentos por proveedor, cada uno en formato PDF, JPG o PNG:</w:t>
      </w:r>
    </w:p>
    <w:p>
      <w:pPr>
        <w:pStyle w:val="ListParagraph"/>
        <w:numPr>
          <w:ilvl w:val="0"/>
          <w:numId w:val="2"/>
        </w:numPr>
        <w:spacing w:after="80" w:line="280"/>
      </w:pPr>
      <w:r>
        <w:rPr>
          <w:rFonts w:ascii="Arial" w:cs="Arial" w:eastAsia="Arial" w:hAnsi="Arial"/>
          <w:color w:val="1E293B"/>
          <w:sz w:val="22"/>
          <w:szCs w:val="22"/>
        </w:rPr>
        <w:t xml:space="preserve">Constancia de Situación Fiscal (CSF)</w:t>
      </w:r>
    </w:p>
    <w:p>
      <w:pPr>
        <w:pStyle w:val="ListParagraph"/>
        <w:numPr>
          <w:ilvl w:val="0"/>
          <w:numId w:val="2"/>
        </w:numPr>
        <w:spacing w:after="80" w:line="280"/>
      </w:pPr>
      <w:r>
        <w:rPr>
          <w:rFonts w:ascii="Arial" w:cs="Arial" w:eastAsia="Arial" w:hAnsi="Arial"/>
          <w:color w:val="1E293B"/>
          <w:sz w:val="22"/>
          <w:szCs w:val="22"/>
        </w:rPr>
        <w:t xml:space="preserve">Opinión de Cumplimiento del SAT</w:t>
      </w:r>
    </w:p>
    <w:p>
      <w:pPr>
        <w:pStyle w:val="ListParagraph"/>
        <w:numPr>
          <w:ilvl w:val="0"/>
          <w:numId w:val="2"/>
        </w:numPr>
        <w:spacing w:after="80" w:line="280"/>
      </w:pPr>
      <w:r>
        <w:rPr>
          <w:rFonts w:ascii="Arial" w:cs="Arial" w:eastAsia="Arial" w:hAnsi="Arial"/>
          <w:color w:val="1E293B"/>
          <w:sz w:val="22"/>
          <w:szCs w:val="22"/>
        </w:rPr>
        <w:t xml:space="preserve">Identificación Oficial vigente</w:t>
      </w:r>
    </w:p>
    <w:p>
      <w:pPr>
        <w:pStyle w:val="ListParagraph"/>
        <w:numPr>
          <w:ilvl w:val="0"/>
          <w:numId w:val="2"/>
        </w:numPr>
        <w:spacing w:after="80" w:line="280"/>
      </w:pPr>
      <w:r>
        <w:rPr>
          <w:rFonts w:ascii="Arial" w:cs="Arial" w:eastAsia="Arial" w:hAnsi="Arial"/>
          <w:color w:val="1E293B"/>
          <w:sz w:val="22"/>
          <w:szCs w:val="22"/>
        </w:rPr>
        <w:t xml:space="preserve">Carátula de Estado de Cuenta Bancario</w:t>
      </w:r>
    </w:p>
    <w:p>
      <w:pPr>
        <w:pStyle w:val="ListParagraph"/>
        <w:numPr>
          <w:ilvl w:val="0"/>
          <w:numId w:val="2"/>
        </w:numPr>
        <w:spacing w:after="80" w:line="280"/>
      </w:pPr>
      <w:r>
        <w:rPr>
          <w:rFonts w:ascii="Arial" w:cs="Arial" w:eastAsia="Arial" w:hAnsi="Arial"/>
          <w:color w:val="1E293B"/>
          <w:sz w:val="22"/>
          <w:szCs w:val="22"/>
        </w:rPr>
        <w:t xml:space="preserve">Acta Constitutiva</w:t>
      </w:r>
    </w:p>
    <w:p>
      <w:pPr>
        <w:pStyle w:val="ListParagraph"/>
        <w:numPr>
          <w:ilvl w:val="0"/>
          <w:numId w:val="2"/>
        </w:numPr>
        <w:spacing w:after="80" w:line="280"/>
      </w:pPr>
      <w:r>
        <w:rPr>
          <w:rFonts w:ascii="Arial" w:cs="Arial" w:eastAsia="Arial" w:hAnsi="Arial"/>
          <w:color w:val="1E293B"/>
          <w:sz w:val="22"/>
          <w:szCs w:val="22"/>
        </w:rPr>
        <w:t xml:space="preserve">Comprobante de Domicilio Fiscal</w:t>
      </w:r>
    </w:p>
    <w:p>
      <w:pPr>
        <w:spacing w:after="160" w:line="300"/>
      </w:pPr>
      <w:r>
        <w:rPr>
          <w:rFonts w:ascii="Arial" w:cs="Arial" w:eastAsia="Arial" w:hAnsi="Arial"/>
          <w:color w:val="1E293B"/>
          <w:sz w:val="22"/>
          <w:szCs w:val="22"/>
        </w:rPr>
        <w:t xml:space="preserve">El indicador junto a la pestaña muestra cuántos de los 6 documentos ya están cargados; la lista de proveedores también muestra este avance como "X/6 docs".</w:t>
      </w:r>
    </w:p>
    <w:p>
      <w:r>
        <w:br w:type="page"/>
      </w:r>
    </w:p>
    <w:p>
      <w:pPr>
        <w:pStyle w:val="Heading1"/>
        <w:pBdr>
          <w:bottom w:val="single" w:color="2563EB" w:sz="4" w:space="4"/>
        </w:pBdr>
        <w:spacing w:after="240" w:before="480"/>
      </w:pPr>
      <w:r>
        <w:rPr>
          <w:rFonts w:ascii="Arial" w:cs="Arial" w:eastAsia="Arial" w:hAnsi="Arial"/>
          <w:b/>
          <w:bCs/>
          <w:color w:val="1E3A5F"/>
          <w:sz w:val="36"/>
          <w:szCs w:val="36"/>
        </w:rPr>
        <w:t xml:space="preserve">10. Artículos</w:t>
      </w:r>
    </w:p>
    <w:p>
      <w:pPr>
        <w:spacing w:after="160" w:line="300"/>
      </w:pPr>
      <w:r>
        <w:rPr>
          <w:rFonts w:ascii="Arial" w:cs="Arial" w:eastAsia="Arial" w:hAnsi="Arial"/>
          <w:color w:val="1E293B"/>
          <w:sz w:val="22"/>
          <w:szCs w:val="22"/>
        </w:rPr>
        <w:t xml:space="preserve">El catálogo de Artículos es la base de datos maestra de productos e insumos que se usan en Requisiciones, Cotizaciones, Órdenes de Compra, Recepciones, Transferencias e Inventario.</w:t>
      </w:r>
    </w:p>
    <w:p>
      <w:pPr>
        <w:pStyle w:val="Heading2"/>
        <w:spacing w:after="120" w:before="360"/>
      </w:pPr>
      <w:r>
        <w:rPr>
          <w:rFonts w:ascii="Arial" w:cs="Arial" w:eastAsia="Arial" w:hAnsi="Arial"/>
          <w:b/>
          <w:bCs/>
          <w:color w:val="2563EB"/>
          <w:sz w:val="28"/>
          <w:szCs w:val="28"/>
        </w:rPr>
        <w:t xml:space="preserve">10.1 Catálogo de artículos</w:t>
      </w:r>
    </w:p>
    <w:p>
      <w:pPr>
        <w:pBdr>
          <w:top w:val="single" w:color="CBD5E1" w:sz="2"/>
          <w:bottom w:val="single" w:color="CBD5E1" w:sz="2"/>
          <w:left w:val="single" w:color="CBD5E1" w:sz="2"/>
          <w:right w:val="single" w:color="CBD5E1" w:sz="2"/>
        </w:pBdr>
        <w:shd w:fill="EEF2F7" w:color="auto" w:val="clear"/>
        <w:spacing w:after="160" w:before="120"/>
      </w:pPr>
      <w:r>
        <w:rPr>
          <w:rFonts w:ascii="Arial" w:cs="Arial" w:eastAsia="Arial" w:hAnsi="Arial"/>
          <w:b/>
          <w:bCs/>
          <w:i/>
          <w:iCs/>
          <w:color w:val="1E3A5F"/>
          <w:sz w:val="20"/>
          <w:szCs w:val="20"/>
        </w:rPr>
        <w:t xml:space="preserve">Ruta en el sistema: </w:t>
      </w:r>
      <w:r>
        <w:rPr>
          <w:rFonts w:ascii="Arial" w:cs="Arial" w:eastAsia="Arial" w:hAnsi="Arial"/>
          <w:i/>
          <w:iCs/>
          <w:color w:val="475569"/>
          <w:sz w:val="20"/>
          <w:szCs w:val="20"/>
        </w:rPr>
        <w:t xml:space="preserve">Compras → Artículos → Nuevo Artículo</w:t>
      </w:r>
    </w:p>
    <w:p>
      <w:pPr>
        <w:pStyle w:val="ListParagraph"/>
        <w:numPr>
          <w:ilvl w:val="0"/>
          <w:numId w:val="15"/>
        </w:numPr>
        <w:spacing w:after="100" w:line="280"/>
      </w:pPr>
      <w:r>
        <w:rPr>
          <w:rFonts w:ascii="Arial" w:cs="Arial" w:eastAsia="Arial" w:hAnsi="Arial"/>
          <w:color w:val="1E293B"/>
          <w:sz w:val="22"/>
          <w:szCs w:val="22"/>
        </w:rPr>
        <w:t xml:space="preserve">Captura el Nombre (obligatorio) y una Descripción opcional.</w:t>
      </w:r>
    </w:p>
    <w:p>
      <w:pPr>
        <w:pStyle w:val="ListParagraph"/>
        <w:numPr>
          <w:ilvl w:val="0"/>
          <w:numId w:val="15"/>
        </w:numPr>
        <w:spacing w:after="100" w:line="280"/>
      </w:pPr>
      <w:r>
        <w:rPr>
          <w:rFonts w:ascii="Arial" w:cs="Arial" w:eastAsia="Arial" w:hAnsi="Arial"/>
          <w:color w:val="1E293B"/>
          <w:sz w:val="22"/>
          <w:szCs w:val="22"/>
        </w:rPr>
        <w:t xml:space="preserve">Elige la Unidad de Medida (piezas, kilogramos, litros, metros, cajas, servicio, etc.).</w:t>
      </w:r>
    </w:p>
    <w:p>
      <w:pPr>
        <w:pStyle w:val="ListParagraph"/>
        <w:numPr>
          <w:ilvl w:val="0"/>
          <w:numId w:val="15"/>
        </w:numPr>
        <w:spacing w:after="100" w:line="280"/>
      </w:pPr>
      <w:r>
        <w:rPr>
          <w:rFonts w:ascii="Arial" w:cs="Arial" w:eastAsia="Arial" w:hAnsi="Arial"/>
          <w:color w:val="1E293B"/>
          <w:sz w:val="22"/>
          <w:szCs w:val="22"/>
        </w:rPr>
        <w:t xml:space="preserve">Elige la Categoría del artículo (por ejemplo Agroquímicos, Construcción/Ferretería/Pinturas, Limpieza y Suministros, Papelería, Refacciones, Servicios, entre otras).</w:t>
      </w:r>
    </w:p>
    <w:p>
      <w:pPr>
        <w:pStyle w:val="ListParagraph"/>
        <w:numPr>
          <w:ilvl w:val="0"/>
          <w:numId w:val="15"/>
        </w:numPr>
        <w:spacing w:after="100" w:line="280"/>
      </w:pPr>
      <w:r>
        <w:rPr>
          <w:rFonts w:ascii="Arial" w:cs="Arial" w:eastAsia="Arial" w:hAnsi="Arial"/>
          <w:color w:val="1E293B"/>
          <w:sz w:val="22"/>
          <w:szCs w:val="22"/>
        </w:rPr>
        <w:t xml:space="preserve">Captura Stock Mínimo (dispara la alerta de "bajo mínimo"), Stock Máximo (opcional) y Precio de Referencia (opcional, útil para precargar precios al capturar productos).</w:t>
      </w:r>
    </w:p>
    <w:p>
      <w:pPr>
        <w:pStyle w:val="ListParagraph"/>
        <w:numPr>
          <w:ilvl w:val="0"/>
          <w:numId w:val="15"/>
        </w:numPr>
        <w:spacing w:after="100" w:line="280"/>
      </w:pPr>
      <w:r>
        <w:rPr>
          <w:rFonts w:ascii="Arial" w:cs="Arial" w:eastAsia="Arial" w:hAnsi="Arial"/>
          <w:color w:val="1E293B"/>
          <w:sz w:val="22"/>
          <w:szCs w:val="22"/>
        </w:rPr>
        <w:t xml:space="preserve">Presiona "Guardar". La Clave se asigna automáticamente.</w:t>
      </w:r>
    </w:p>
    <w:p>
      <w:pPr>
        <w:spacing w:after="160" w:line="300"/>
      </w:pPr>
      <w:r>
        <w:rPr>
          <w:rFonts w:ascii="Arial" w:cs="Arial" w:eastAsia="Arial" w:hAnsi="Arial"/>
          <w:color w:val="1E293B"/>
          <w:sz w:val="22"/>
          <w:szCs w:val="22"/>
        </w:rPr>
        <w:t xml:space="preserve">Al editar un artículo existente, la pestaña "Inventario" muestra —solo lectura— la existencia de ese artículo desglosada por almacén.</w:t>
      </w:r>
    </w:p>
    <w:p>
      <w:pPr>
        <w:pStyle w:val="Heading2"/>
        <w:spacing w:after="120" w:before="360"/>
      </w:pPr>
      <w:r>
        <w:rPr>
          <w:rFonts w:ascii="Arial" w:cs="Arial" w:eastAsia="Arial" w:hAnsi="Arial"/>
          <w:b/>
          <w:bCs/>
          <w:color w:val="2563EB"/>
          <w:sz w:val="28"/>
          <w:szCs w:val="28"/>
        </w:rPr>
        <w:t xml:space="preserve">10.2 Alertas de stock mínimo</w:t>
      </w:r>
    </w:p>
    <w:p>
      <w:pPr>
        <w:spacing w:after="160" w:line="300"/>
      </w:pPr>
      <w:r>
        <w:rPr>
          <w:rFonts w:ascii="Arial" w:cs="Arial" w:eastAsia="Arial" w:hAnsi="Arial"/>
          <w:color w:val="1E293B"/>
          <w:sz w:val="22"/>
          <w:szCs w:val="22"/>
        </w:rPr>
        <w:t xml:space="preserve">La lista de Artículos calcula, para cada uno, la existencia total sumando todos los almacenes, y la compara contra el Stock Mínimo configurado. Cuando la existencia total es igual o menor al mínimo, aparece un ícono de alerta junto al número. El contador de "bajo stock mínimo" en la parte superior de la pantalla funciona también como filtro: haz clic para ver únicamente los artículos en esa condición.</w:t>
      </w:r>
    </w:p>
    <w:p>
      <w:pPr>
        <w:spacing w:after="160" w:line="300"/>
      </w:pPr>
      <w:r>
        <w:rPr>
          <w:rFonts w:ascii="Arial" w:cs="Arial" w:eastAsia="Arial" w:hAnsi="Arial"/>
          <w:color w:val="1E293B"/>
          <w:sz w:val="22"/>
          <w:szCs w:val="22"/>
        </w:rPr>
        <w:t xml:space="preserve">Puedes además filtrar por Categoría y buscar por clave, nombre o descripción.</w:t>
      </w:r>
    </w:p>
    <w:p>
      <w:r>
        <w:br w:type="page"/>
      </w:r>
    </w:p>
    <w:p>
      <w:pPr>
        <w:pStyle w:val="Heading1"/>
        <w:pBdr>
          <w:bottom w:val="single" w:color="2563EB" w:sz="4" w:space="4"/>
        </w:pBdr>
        <w:spacing w:after="240" w:before="480"/>
      </w:pPr>
      <w:r>
        <w:rPr>
          <w:rFonts w:ascii="Arial" w:cs="Arial" w:eastAsia="Arial" w:hAnsi="Arial"/>
          <w:b/>
          <w:bCs/>
          <w:color w:val="1E3A5F"/>
          <w:sz w:val="36"/>
          <w:szCs w:val="36"/>
        </w:rPr>
        <w:t xml:space="preserve">11. Almacenes y Áreas Solicitantes</w:t>
      </w:r>
    </w:p>
    <w:p>
      <w:pPr>
        <w:pStyle w:val="Heading2"/>
        <w:spacing w:after="120" w:before="360"/>
      </w:pPr>
      <w:r>
        <w:rPr>
          <w:rFonts w:ascii="Arial" w:cs="Arial" w:eastAsia="Arial" w:hAnsi="Arial"/>
          <w:b/>
          <w:bCs/>
          <w:color w:val="2563EB"/>
          <w:sz w:val="28"/>
          <w:szCs w:val="28"/>
        </w:rPr>
        <w:t xml:space="preserve">11.1 Almacenes</w:t>
      </w:r>
    </w:p>
    <w:p>
      <w:pPr>
        <w:pBdr>
          <w:top w:val="single" w:color="CBD5E1" w:sz="2"/>
          <w:bottom w:val="single" w:color="CBD5E1" w:sz="2"/>
          <w:left w:val="single" w:color="CBD5E1" w:sz="2"/>
          <w:right w:val="single" w:color="CBD5E1" w:sz="2"/>
        </w:pBdr>
        <w:shd w:fill="EEF2F7" w:color="auto" w:val="clear"/>
        <w:spacing w:after="160" w:before="120"/>
      </w:pPr>
      <w:r>
        <w:rPr>
          <w:rFonts w:ascii="Arial" w:cs="Arial" w:eastAsia="Arial" w:hAnsi="Arial"/>
          <w:b/>
          <w:bCs/>
          <w:i/>
          <w:iCs/>
          <w:color w:val="1E3A5F"/>
          <w:sz w:val="20"/>
          <w:szCs w:val="20"/>
        </w:rPr>
        <w:t xml:space="preserve">Ruta en el sistema: </w:t>
      </w:r>
      <w:r>
        <w:rPr>
          <w:rFonts w:ascii="Arial" w:cs="Arial" w:eastAsia="Arial" w:hAnsi="Arial"/>
          <w:i/>
          <w:iCs/>
          <w:color w:val="475569"/>
          <w:sz w:val="20"/>
          <w:szCs w:val="20"/>
        </w:rPr>
        <w:t xml:space="preserve">Compras → Almacenes → Nuevo Almacén</w:t>
      </w:r>
    </w:p>
    <w:p>
      <w:pPr>
        <w:spacing w:after="160" w:line="300"/>
      </w:pPr>
      <w:r>
        <w:rPr>
          <w:rFonts w:ascii="Arial" w:cs="Arial" w:eastAsia="Arial" w:hAnsi="Arial"/>
          <w:color w:val="1E293B"/>
          <w:sz w:val="22"/>
          <w:szCs w:val="22"/>
        </w:rPr>
        <w:t xml:space="preserve">El catálogo de Almacenes distingue dos tipos:</w:t>
      </w:r>
    </w:p>
    <w:p>
      <w:pPr>
        <w:pStyle w:val="ListParagraph"/>
        <w:numPr>
          <w:ilvl w:val="0"/>
          <w:numId w:val="2"/>
        </w:numPr>
        <w:spacing w:after="80" w:line="280"/>
      </w:pPr>
      <w:r>
        <w:rPr>
          <w:rFonts w:ascii="Arial" w:cs="Arial" w:eastAsia="Arial" w:hAnsi="Arial"/>
          <w:color w:val="1E293B"/>
          <w:sz w:val="22"/>
          <w:szCs w:val="22"/>
        </w:rPr>
        <w:t xml:space="preserve">General — almacenes centrales que reciben mercancía directamente de las Órdenes de Compra. Solo los almacenes marcados como "General" aparecen como destino posible en el formulario de Recepciones.</w:t>
      </w:r>
    </w:p>
    <w:p>
      <w:pPr>
        <w:pStyle w:val="ListParagraph"/>
        <w:numPr>
          <w:ilvl w:val="0"/>
          <w:numId w:val="2"/>
        </w:numPr>
        <w:spacing w:after="80" w:line="280"/>
      </w:pPr>
      <w:r>
        <w:rPr>
          <w:rFonts w:ascii="Arial" w:cs="Arial" w:eastAsia="Arial" w:hAnsi="Arial"/>
          <w:color w:val="1E293B"/>
          <w:sz w:val="22"/>
          <w:szCs w:val="22"/>
        </w:rPr>
        <w:t xml:space="preserve">Particular — almacenes o bodegas específicas de un área o centro de costo, que reciben mercancía únicamente por Transferencia desde un almacén General.</w:t>
      </w:r>
    </w:p>
    <w:p>
      <w:pPr>
        <w:pStyle w:val="ListParagraph"/>
        <w:numPr>
          <w:ilvl w:val="0"/>
          <w:numId w:val="16"/>
        </w:numPr>
        <w:spacing w:after="100" w:line="280"/>
      </w:pPr>
      <w:r>
        <w:rPr>
          <w:rFonts w:ascii="Arial" w:cs="Arial" w:eastAsia="Arial" w:hAnsi="Arial"/>
          <w:color w:val="1E293B"/>
          <w:sz w:val="22"/>
          <w:szCs w:val="22"/>
        </w:rPr>
        <w:t xml:space="preserve">Captura Clave y Nombre.</w:t>
      </w:r>
    </w:p>
    <w:p>
      <w:pPr>
        <w:pStyle w:val="ListParagraph"/>
        <w:numPr>
          <w:ilvl w:val="0"/>
          <w:numId w:val="16"/>
        </w:numPr>
        <w:spacing w:after="100" w:line="280"/>
      </w:pPr>
      <w:r>
        <w:rPr>
          <w:rFonts w:ascii="Arial" w:cs="Arial" w:eastAsia="Arial" w:hAnsi="Arial"/>
          <w:color w:val="1E293B"/>
          <w:sz w:val="22"/>
          <w:szCs w:val="22"/>
        </w:rPr>
        <w:t xml:space="preserve">Elige el Tipo (General o Particular).</w:t>
      </w:r>
    </w:p>
    <w:p>
      <w:pPr>
        <w:pStyle w:val="ListParagraph"/>
        <w:numPr>
          <w:ilvl w:val="0"/>
          <w:numId w:val="16"/>
        </w:numPr>
        <w:spacing w:after="100" w:line="280"/>
      </w:pPr>
      <w:r>
        <w:rPr>
          <w:rFonts w:ascii="Arial" w:cs="Arial" w:eastAsia="Arial" w:hAnsi="Arial"/>
          <w:color w:val="1E293B"/>
          <w:sz w:val="22"/>
          <w:szCs w:val="22"/>
        </w:rPr>
        <w:t xml:space="preserve">Captura el Área a la que pertenece y el Responsable.</w:t>
      </w:r>
    </w:p>
    <w:p>
      <w:pPr>
        <w:pStyle w:val="ListParagraph"/>
        <w:numPr>
          <w:ilvl w:val="0"/>
          <w:numId w:val="16"/>
        </w:numPr>
        <w:spacing w:after="100" w:line="280"/>
      </w:pPr>
      <w:r>
        <w:rPr>
          <w:rFonts w:ascii="Arial" w:cs="Arial" w:eastAsia="Arial" w:hAnsi="Arial"/>
          <w:color w:val="1E293B"/>
          <w:sz w:val="22"/>
          <w:szCs w:val="22"/>
        </w:rPr>
        <w:t xml:space="preserve">Guarda. El almacén queda Activo por defecto; puedes activarlo/desactivarlo después con el interruptor de la lista.</w:t>
      </w:r>
    </w:p>
    <w:p>
      <w:pPr>
        <w:pStyle w:val="Heading2"/>
        <w:spacing w:after="120" w:before="360"/>
      </w:pPr>
      <w:r>
        <w:rPr>
          <w:rFonts w:ascii="Arial" w:cs="Arial" w:eastAsia="Arial" w:hAnsi="Arial"/>
          <w:b/>
          <w:bCs/>
          <w:color w:val="2563EB"/>
          <w:sz w:val="28"/>
          <w:szCs w:val="28"/>
        </w:rPr>
        <w:t xml:space="preserve">11.2 Áreas Solicitantes</w:t>
      </w:r>
    </w:p>
    <w:p>
      <w:pPr>
        <w:pBdr>
          <w:top w:val="single" w:color="CBD5E1" w:sz="2"/>
          <w:bottom w:val="single" w:color="CBD5E1" w:sz="2"/>
          <w:left w:val="single" w:color="CBD5E1" w:sz="2"/>
          <w:right w:val="single" w:color="CBD5E1" w:sz="2"/>
        </w:pBdr>
        <w:shd w:fill="EEF2F7" w:color="auto" w:val="clear"/>
        <w:spacing w:after="160" w:before="120"/>
      </w:pPr>
      <w:r>
        <w:rPr>
          <w:rFonts w:ascii="Arial" w:cs="Arial" w:eastAsia="Arial" w:hAnsi="Arial"/>
          <w:b/>
          <w:bCs/>
          <w:i/>
          <w:iCs/>
          <w:color w:val="1E3A5F"/>
          <w:sz w:val="20"/>
          <w:szCs w:val="20"/>
        </w:rPr>
        <w:t xml:space="preserve">Ruta en el sistema: </w:t>
      </w:r>
      <w:r>
        <w:rPr>
          <w:rFonts w:ascii="Arial" w:cs="Arial" w:eastAsia="Arial" w:hAnsi="Arial"/>
          <w:i/>
          <w:iCs/>
          <w:color w:val="475569"/>
          <w:sz w:val="20"/>
          <w:szCs w:val="20"/>
        </w:rPr>
        <w:t xml:space="preserve">Compras → Áreas Solicitantes → Nueva Área</w:t>
      </w:r>
    </w:p>
    <w:p>
      <w:pPr>
        <w:spacing w:after="160" w:line="300"/>
      </w:pPr>
      <w:r>
        <w:rPr>
          <w:rFonts w:ascii="Arial" w:cs="Arial" w:eastAsia="Arial" w:hAnsi="Arial"/>
          <w:color w:val="1E293B"/>
          <w:sz w:val="22"/>
          <w:szCs w:val="22"/>
        </w:rPr>
        <w:t xml:space="preserve">Este catálogo mantiene la lista de departamentos o áreas que pueden aparecer como "Área Solicitante" al capturar una Requisición o una Transferencia. Solo requiere Nombre y, opcionalmente, un Responsable.</w:t>
      </w:r>
    </w:p>
    <w:p>
      <w:pPr>
        <w:pStyle w:val="Heading2"/>
        <w:spacing w:after="120" w:before="360"/>
      </w:pPr>
      <w:r>
        <w:rPr>
          <w:rFonts w:ascii="Arial" w:cs="Arial" w:eastAsia="Arial" w:hAnsi="Arial"/>
          <w:b/>
          <w:bCs/>
          <w:color w:val="2563EB"/>
          <w:sz w:val="28"/>
          <w:szCs w:val="28"/>
        </w:rPr>
        <w:t xml:space="preserve">11.3 "Área Solicitante" vs. "Centro de Costo → Área → Frente"</w:t>
      </w:r>
    </w:p>
    <w:p>
      <w:pPr>
        <w:pBdr>
          <w:top w:val="single" w:color="2563EB" w:sz="4" w:space="6"/>
          <w:bottom w:val="single" w:color="2563EB" w:sz="4" w:space="6"/>
          <w:left w:val="single" w:color="2563EB" w:sz="4" w:space="6"/>
          <w:right w:val="single" w:color="2563EB" w:sz="4" w:space="6"/>
        </w:pBdr>
        <w:shd w:fill="DBEAFE" w:color="auto" w:val="clear"/>
        <w:spacing w:after="200" w:before="120"/>
        <w:ind w:left="60" w:right="60"/>
      </w:pPr>
      <w:r>
        <w:rPr>
          <w:rFonts w:ascii="Arial" w:cs="Arial" w:eastAsia="Arial" w:hAnsi="Arial"/>
          <w:b/>
          <w:bCs/>
          <w:i/>
          <w:iCs/>
          <w:color w:val="1E3A5F"/>
          <w:sz w:val="20"/>
          <w:szCs w:val="20"/>
        </w:rPr>
        <w:t xml:space="preserve">IMPORTANTE: </w:t>
      </w:r>
      <w:r>
        <w:rPr>
          <w:rFonts w:ascii="Arial" w:cs="Arial" w:eastAsia="Arial" w:hAnsi="Arial"/>
          <w:i/>
          <w:iCs/>
          <w:color w:val="1E3A5F"/>
          <w:sz w:val="20"/>
          <w:szCs w:val="20"/>
        </w:rPr>
        <w:t xml:space="preserve">El módulo de Compras usa la palabra "Área" con dos significados distintos. No los confundas al capturar documentos.</w:t>
      </w:r>
    </w:p>
    <w:tbl>
      <w:tblPr>
        <w:tblW w:type="dxa" w:w="8400"/>
        <w:tblBorders>
          <w:top w:val="single" w:color="CBD5E1" w:sz="2"/>
          <w:left w:val="single" w:color="CBD5E1" w:sz="2"/>
          <w:bottom w:val="single" w:color="CBD5E1" w:sz="2"/>
          <w:right w:val="single" w:color="CBD5E1" w:sz="2"/>
          <w:insideH w:val="single" w:color="E2E8F0" w:sz="2"/>
          <w:insideV w:val="single" w:color="E2E8F0" w:sz="2"/>
        </w:tblBorders>
      </w:tblPr>
      <w:tblGrid>
        <w:gridCol w:w="2600"/>
        <w:gridCol w:w="5800"/>
      </w:tblGrid>
      <w:tr>
        <w:trPr>
          <w:cantSplit/>
          <w:tblHeader/>
        </w:trPr>
        <w:tc>
          <w:tcPr>
            <w:tcW w:type="dxa" w:w="2600"/>
            <w:shd w:fill="1E3A5F" w:color="auto" w:val="clear"/>
            <w:tcMar>
              <w:top w:type="dxa" w:w="60"/>
              <w:left w:type="dxa" w:w="100"/>
              <w:bottom w:type="dxa" w:w="60"/>
              <w:right w:type="dxa" w:w="100"/>
            </w:tcMar>
            <w:vAlign w:val="center"/>
          </w:tcPr>
          <w:p>
            <w:pPr>
              <w:spacing w:after="40" w:before="40"/>
            </w:pPr>
            <w:r>
              <w:rPr>
                <w:rFonts w:ascii="Arial" w:cs="Arial" w:eastAsia="Arial" w:hAnsi="Arial"/>
                <w:b/>
                <w:bCs/>
                <w:i w:val="false"/>
                <w:iCs w:val="false"/>
                <w:color w:val="FFFFFF"/>
                <w:sz w:val="19"/>
                <w:szCs w:val="19"/>
              </w:rPr>
              <w:t xml:space="preserve">Concepto</w:t>
            </w:r>
          </w:p>
        </w:tc>
        <w:tc>
          <w:tcPr>
            <w:tcW w:type="dxa" w:w="5800"/>
            <w:shd w:fill="1E3A5F" w:color="auto" w:val="clear"/>
            <w:tcMar>
              <w:top w:type="dxa" w:w="60"/>
              <w:left w:type="dxa" w:w="100"/>
              <w:bottom w:type="dxa" w:w="60"/>
              <w:right w:type="dxa" w:w="100"/>
            </w:tcMar>
            <w:vAlign w:val="center"/>
          </w:tcPr>
          <w:p>
            <w:pPr>
              <w:spacing w:after="40" w:before="40"/>
            </w:pPr>
            <w:r>
              <w:rPr>
                <w:rFonts w:ascii="Arial" w:cs="Arial" w:eastAsia="Arial" w:hAnsi="Arial"/>
                <w:b/>
                <w:bCs/>
                <w:i w:val="false"/>
                <w:iCs w:val="false"/>
                <w:color w:val="FFFFFF"/>
                <w:sz w:val="19"/>
                <w:szCs w:val="19"/>
              </w:rPr>
              <w:t xml:space="preserve">Para qué sirve</w:t>
            </w:r>
          </w:p>
        </w:tc>
      </w:tr>
      <w:tr>
        <w:trPr>
          <w:cantSplit/>
        </w:trPr>
        <w:tc>
          <w:tcPr>
            <w:tcW w:type="dxa" w:w="26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Área Solicitante (catálogo de este capítulo, 11.2)</w:t>
            </w:r>
          </w:p>
        </w:tc>
        <w:tc>
          <w:tcPr>
            <w:tcW w:type="dxa" w:w="58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Identifica de forma libre y descriptiva qué departamento está solicitando la compra o la transferencia (por ejemplo "Mantenimiento" o "Jardinería"). Se usa en Requisiciones y en Transferencias.</w:t>
            </w:r>
          </w:p>
        </w:tc>
      </w:tr>
      <w:tr>
        <w:trPr>
          <w:cantSplit/>
        </w:trPr>
        <w:tc>
          <w:tcPr>
            <w:tcW w:type="dxa" w:w="26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Centro de Costo → Área → Frente</w:t>
            </w:r>
          </w:p>
        </w:tc>
        <w:tc>
          <w:tcPr>
            <w:tcW w:type="dxa" w:w="58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Es la jerarquía de clasificación contable y presupuestal general del sistema (administrada en Configuración, no en Compras). Se usa para imputar el gasto en Requisiciones, Órdenes de Compra, Órdenes de Pago y Reembolsos de Caja Chica, y es la que permite generar reportes financieros por centro de costo.</w:t>
            </w:r>
          </w:p>
        </w:tc>
      </w:tr>
    </w:tbl>
    <w:p>
      <w:r>
        <w:br w:type="page"/>
      </w:r>
    </w:p>
    <w:p>
      <w:pPr>
        <w:pStyle w:val="Heading1"/>
        <w:pBdr>
          <w:bottom w:val="single" w:color="2563EB" w:sz="4" w:space="4"/>
        </w:pBdr>
        <w:spacing w:after="240" w:before="480"/>
      </w:pPr>
      <w:r>
        <w:rPr>
          <w:rFonts w:ascii="Arial" w:cs="Arial" w:eastAsia="Arial" w:hAnsi="Arial"/>
          <w:b/>
          <w:bCs/>
          <w:color w:val="1E3A5F"/>
          <w:sz w:val="36"/>
          <w:szCs w:val="36"/>
        </w:rPr>
        <w:t xml:space="preserve">12. Órdenes de Pago</w:t>
      </w:r>
    </w:p>
    <w:p>
      <w:pPr>
        <w:spacing w:after="160" w:line="300"/>
      </w:pPr>
      <w:r>
        <w:rPr>
          <w:rFonts w:ascii="Arial" w:cs="Arial" w:eastAsia="Arial" w:hAnsi="Arial"/>
          <w:color w:val="1E293B"/>
          <w:sz w:val="22"/>
          <w:szCs w:val="22"/>
        </w:rPr>
        <w:t xml:space="preserve">La Orden de Pago (OP) es el documento con el que se programa un pago a un proveedor o beneficiario. Puede originarse en una Orden de Compra autorizada, o crearse de forma independiente para gastos que no implican inventario (servicios, honorarios, arrendamientos, impuestos, etc.).</w:t>
      </w:r>
    </w:p>
    <w:p>
      <w:pPr>
        <w:pStyle w:val="Heading2"/>
        <w:spacing w:after="120" w:before="360"/>
      </w:pPr>
      <w:r>
        <w:rPr>
          <w:rFonts w:ascii="Arial" w:cs="Arial" w:eastAsia="Arial" w:hAnsi="Arial"/>
          <w:b/>
          <w:bCs/>
          <w:color w:val="2563EB"/>
          <w:sz w:val="28"/>
          <w:szCs w:val="28"/>
        </w:rPr>
        <w:t xml:space="preserve">12.1 Estatus de una Orden de Pago</w:t>
      </w:r>
    </w:p>
    <w:tbl>
      <w:tblPr>
        <w:tblW w:type="dxa" w:w="8400"/>
        <w:tblBorders>
          <w:top w:val="single" w:color="CBD5E1" w:sz="2"/>
          <w:left w:val="single" w:color="CBD5E1" w:sz="2"/>
          <w:bottom w:val="single" w:color="CBD5E1" w:sz="2"/>
          <w:right w:val="single" w:color="CBD5E1" w:sz="2"/>
          <w:insideH w:val="single" w:color="E2E8F0" w:sz="2"/>
          <w:insideV w:val="single" w:color="E2E8F0" w:sz="2"/>
        </w:tblBorders>
      </w:tblPr>
      <w:tblGrid>
        <w:gridCol w:w="2400"/>
        <w:gridCol w:w="6000"/>
      </w:tblGrid>
      <w:tr>
        <w:trPr>
          <w:cantSplit/>
          <w:tblHeader/>
        </w:trPr>
        <w:tc>
          <w:tcPr>
            <w:tcW w:type="dxa" w:w="2400"/>
            <w:shd w:fill="1E3A5F" w:color="auto" w:val="clear"/>
            <w:tcMar>
              <w:top w:type="dxa" w:w="60"/>
              <w:left w:type="dxa" w:w="100"/>
              <w:bottom w:type="dxa" w:w="60"/>
              <w:right w:type="dxa" w:w="100"/>
            </w:tcMar>
            <w:vAlign w:val="center"/>
          </w:tcPr>
          <w:p>
            <w:pPr>
              <w:spacing w:after="40" w:before="40"/>
            </w:pPr>
            <w:r>
              <w:rPr>
                <w:rFonts w:ascii="Arial" w:cs="Arial" w:eastAsia="Arial" w:hAnsi="Arial"/>
                <w:b/>
                <w:bCs/>
                <w:i w:val="false"/>
                <w:iCs w:val="false"/>
                <w:color w:val="FFFFFF"/>
                <w:sz w:val="19"/>
                <w:szCs w:val="19"/>
              </w:rPr>
              <w:t xml:space="preserve">Estatus</w:t>
            </w:r>
          </w:p>
        </w:tc>
        <w:tc>
          <w:tcPr>
            <w:tcW w:type="dxa" w:w="6000"/>
            <w:shd w:fill="1E3A5F" w:color="auto" w:val="clear"/>
            <w:tcMar>
              <w:top w:type="dxa" w:w="60"/>
              <w:left w:type="dxa" w:w="100"/>
              <w:bottom w:type="dxa" w:w="60"/>
              <w:right w:type="dxa" w:w="100"/>
            </w:tcMar>
            <w:vAlign w:val="center"/>
          </w:tcPr>
          <w:p>
            <w:pPr>
              <w:spacing w:after="40" w:before="40"/>
            </w:pPr>
            <w:r>
              <w:rPr>
                <w:rFonts w:ascii="Arial" w:cs="Arial" w:eastAsia="Arial" w:hAnsi="Arial"/>
                <w:b/>
                <w:bCs/>
                <w:i w:val="false"/>
                <w:iCs w:val="false"/>
                <w:color w:val="FFFFFF"/>
                <w:sz w:val="19"/>
                <w:szCs w:val="19"/>
              </w:rPr>
              <w:t xml:space="preserve">Significado</w:t>
            </w:r>
          </w:p>
        </w:tc>
      </w:tr>
      <w:tr>
        <w:trPr>
          <w:cantSplit/>
        </w:trPr>
        <w:tc>
          <w:tcPr>
            <w:tcW w:type="dxa" w:w="24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Pendiente Auth</w:t>
            </w:r>
          </w:p>
        </w:tc>
        <w:tc>
          <w:tcPr>
            <w:tcW w:type="dxa" w:w="60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Solo aplica a OP sin OC (gasto directo). Espera aprobación antes de entrar a Cuentas por Pagar.</w:t>
            </w:r>
          </w:p>
        </w:tc>
      </w:tr>
      <w:tr>
        <w:trPr>
          <w:cantSplit/>
        </w:trPr>
        <w:tc>
          <w:tcPr>
            <w:tcW w:type="dxa" w:w="24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Pendiente</w:t>
            </w:r>
          </w:p>
        </w:tc>
        <w:tc>
          <w:tcPr>
            <w:tcW w:type="dxa" w:w="60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Ya está en Cuentas por Pagar, en espera de pago (total o parcial).</w:t>
            </w:r>
          </w:p>
        </w:tc>
      </w:tr>
      <w:tr>
        <w:trPr>
          <w:cantSplit/>
        </w:trPr>
        <w:tc>
          <w:tcPr>
            <w:tcW w:type="dxa" w:w="24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Abonada</w:t>
            </w:r>
          </w:p>
        </w:tc>
        <w:tc>
          <w:tcPr>
            <w:tcW w:type="dxa" w:w="60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Recibió al menos un pago parcial; queda saldo pendiente.</w:t>
            </w:r>
          </w:p>
        </w:tc>
      </w:tr>
      <w:tr>
        <w:trPr>
          <w:cantSplit/>
        </w:trPr>
        <w:tc>
          <w:tcPr>
            <w:tcW w:type="dxa" w:w="24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Pagada</w:t>
            </w:r>
          </w:p>
        </w:tc>
        <w:tc>
          <w:tcPr>
            <w:tcW w:type="dxa" w:w="60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Se cubrió el 100% del monto.</w:t>
            </w:r>
          </w:p>
        </w:tc>
      </w:tr>
      <w:tr>
        <w:trPr>
          <w:cantSplit/>
        </w:trPr>
        <w:tc>
          <w:tcPr>
            <w:tcW w:type="dxa" w:w="24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Rechazada</w:t>
            </w:r>
          </w:p>
        </w:tc>
        <w:tc>
          <w:tcPr>
            <w:tcW w:type="dxa" w:w="60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No fue autorizada; no entra a Cuentas por Pagar.</w:t>
            </w:r>
          </w:p>
        </w:tc>
      </w:tr>
      <w:tr>
        <w:trPr>
          <w:cantSplit/>
        </w:trPr>
        <w:tc>
          <w:tcPr>
            <w:tcW w:type="dxa" w:w="24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Cancelada</w:t>
            </w:r>
          </w:p>
        </w:tc>
        <w:tc>
          <w:tcPr>
            <w:tcW w:type="dxa" w:w="60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Se canceló manualmente antes de recibir pagos.</w:t>
            </w:r>
          </w:p>
        </w:tc>
      </w:tr>
    </w:tbl>
    <w:p>
      <w:pPr>
        <w:pStyle w:val="Heading2"/>
        <w:spacing w:after="120" w:before="360"/>
      </w:pPr>
      <w:r>
        <w:rPr>
          <w:rFonts w:ascii="Arial" w:cs="Arial" w:eastAsia="Arial" w:hAnsi="Arial"/>
          <w:b/>
          <w:bCs/>
          <w:color w:val="2563EB"/>
          <w:sz w:val="28"/>
          <w:szCs w:val="28"/>
        </w:rPr>
        <w:t xml:space="preserve">12.2 Orden de Pago con Orden de Compra</w:t>
      </w:r>
    </w:p>
    <w:p>
      <w:pPr>
        <w:pBdr>
          <w:top w:val="single" w:color="CBD5E1" w:sz="2"/>
          <w:bottom w:val="single" w:color="CBD5E1" w:sz="2"/>
          <w:left w:val="single" w:color="CBD5E1" w:sz="2"/>
          <w:right w:val="single" w:color="CBD5E1" w:sz="2"/>
        </w:pBdr>
        <w:shd w:fill="EEF2F7" w:color="auto" w:val="clear"/>
        <w:spacing w:after="160" w:before="120"/>
      </w:pPr>
      <w:r>
        <w:rPr>
          <w:rFonts w:ascii="Arial" w:cs="Arial" w:eastAsia="Arial" w:hAnsi="Arial"/>
          <w:b/>
          <w:bCs/>
          <w:i/>
          <w:iCs/>
          <w:color w:val="1E3A5F"/>
          <w:sz w:val="20"/>
          <w:szCs w:val="20"/>
        </w:rPr>
        <w:t xml:space="preserve">Ruta en el sistema: </w:t>
      </w:r>
      <w:r>
        <w:rPr>
          <w:rFonts w:ascii="Arial" w:cs="Arial" w:eastAsia="Arial" w:hAnsi="Arial"/>
          <w:i/>
          <w:iCs/>
          <w:color w:val="475569"/>
          <w:sz w:val="20"/>
          <w:szCs w:val="20"/>
        </w:rPr>
        <w:t xml:space="preserve">Compras → Órdenes de Pago → Nueva Orden de Pago → "Con Orden de Compra"</w:t>
      </w:r>
    </w:p>
    <w:p>
      <w:pPr>
        <w:spacing w:after="160" w:line="300"/>
      </w:pPr>
      <w:r>
        <w:rPr>
          <w:rFonts w:ascii="Arial" w:cs="Arial" w:eastAsia="Arial" w:hAnsi="Arial"/>
          <w:color w:val="1E293B"/>
          <w:sz w:val="22"/>
          <w:szCs w:val="22"/>
        </w:rPr>
        <w:t xml:space="preserve">Esta vía se usa normalmente desde el propio detalle de la OC (capítulo 5.5), pero también puede iniciarse desde este submódulo:</w:t>
      </w:r>
    </w:p>
    <w:p>
      <w:pPr>
        <w:pStyle w:val="ListParagraph"/>
        <w:numPr>
          <w:ilvl w:val="0"/>
          <w:numId w:val="17"/>
        </w:numPr>
        <w:spacing w:after="100" w:line="280"/>
      </w:pPr>
      <w:r>
        <w:rPr>
          <w:rFonts w:ascii="Arial" w:cs="Arial" w:eastAsia="Arial" w:hAnsi="Arial"/>
          <w:color w:val="1E293B"/>
          <w:sz w:val="22"/>
          <w:szCs w:val="22"/>
        </w:rPr>
        <w:t xml:space="preserve">Elige el Proveedor.</w:t>
      </w:r>
    </w:p>
    <w:p>
      <w:pPr>
        <w:pStyle w:val="ListParagraph"/>
        <w:numPr>
          <w:ilvl w:val="0"/>
          <w:numId w:val="17"/>
        </w:numPr>
        <w:spacing w:after="100" w:line="280"/>
      </w:pPr>
      <w:r>
        <w:rPr>
          <w:rFonts w:ascii="Arial" w:cs="Arial" w:eastAsia="Arial" w:hAnsi="Arial"/>
          <w:color w:val="1E293B"/>
          <w:sz w:val="22"/>
          <w:szCs w:val="22"/>
        </w:rPr>
        <w:t xml:space="preserve">Agrega una o varias Órdenes de Compra Autorizadas de ese proveedor; el sistema propone el monto pendiente de cada una, que puedes ajustar.</w:t>
      </w:r>
    </w:p>
    <w:p>
      <w:pPr>
        <w:pStyle w:val="ListParagraph"/>
        <w:numPr>
          <w:ilvl w:val="0"/>
          <w:numId w:val="17"/>
        </w:numPr>
        <w:spacing w:after="100" w:line="280"/>
      </w:pPr>
      <w:r>
        <w:rPr>
          <w:rFonts w:ascii="Arial" w:cs="Arial" w:eastAsia="Arial" w:hAnsi="Arial"/>
          <w:color w:val="1E293B"/>
          <w:sz w:val="22"/>
          <w:szCs w:val="22"/>
        </w:rPr>
        <w:t xml:space="preserve">El Centro de Costo, Área, Frente y Almacén se heredan de la primera OC seleccionada.</w:t>
      </w:r>
    </w:p>
    <w:p>
      <w:pPr>
        <w:pStyle w:val="ListParagraph"/>
        <w:numPr>
          <w:ilvl w:val="0"/>
          <w:numId w:val="17"/>
        </w:numPr>
        <w:spacing w:after="100" w:line="280"/>
      </w:pPr>
      <w:r>
        <w:rPr>
          <w:rFonts w:ascii="Arial" w:cs="Arial" w:eastAsia="Arial" w:hAnsi="Arial"/>
          <w:color w:val="1E293B"/>
          <w:sz w:val="22"/>
          <w:szCs w:val="22"/>
        </w:rPr>
        <w:t xml:space="preserve">Completa Forma de Pago, Fecha de Vencimiento, Concepto, Datos Bancarios del beneficiario y, si los tienes, adjunta la factura (PDF y XML).</w:t>
      </w:r>
    </w:p>
    <w:p>
      <w:pPr>
        <w:pStyle w:val="ListParagraph"/>
        <w:numPr>
          <w:ilvl w:val="0"/>
          <w:numId w:val="17"/>
        </w:numPr>
        <w:spacing w:after="100" w:line="280"/>
      </w:pPr>
      <w:r>
        <w:rPr>
          <w:rFonts w:ascii="Arial" w:cs="Arial" w:eastAsia="Arial" w:hAnsi="Arial"/>
          <w:color w:val="1E293B"/>
          <w:sz w:val="22"/>
          <w:szCs w:val="22"/>
        </w:rPr>
        <w:t xml:space="preserve">Guarda. El estatus inicial es "Pendiente" — entra directo a Cuentas por Pagar, sin autorización adicional.</w:t>
      </w:r>
    </w:p>
    <w:p>
      <w:pPr>
        <w:pStyle w:val="Heading2"/>
        <w:spacing w:after="120" w:before="360"/>
      </w:pPr>
      <w:r>
        <w:rPr>
          <w:rFonts w:ascii="Arial" w:cs="Arial" w:eastAsia="Arial" w:hAnsi="Arial"/>
          <w:b/>
          <w:bCs/>
          <w:color w:val="2563EB"/>
          <w:sz w:val="28"/>
          <w:szCs w:val="28"/>
        </w:rPr>
        <w:t xml:space="preserve">12.3 Orden de Pago sin Orden de Compra (gasto directo)</w:t>
      </w:r>
    </w:p>
    <w:p>
      <w:pPr>
        <w:pBdr>
          <w:top w:val="single" w:color="CBD5E1" w:sz="2"/>
          <w:bottom w:val="single" w:color="CBD5E1" w:sz="2"/>
          <w:left w:val="single" w:color="CBD5E1" w:sz="2"/>
          <w:right w:val="single" w:color="CBD5E1" w:sz="2"/>
        </w:pBdr>
        <w:shd w:fill="EEF2F7" w:color="auto" w:val="clear"/>
        <w:spacing w:after="160" w:before="120"/>
      </w:pPr>
      <w:r>
        <w:rPr>
          <w:rFonts w:ascii="Arial" w:cs="Arial" w:eastAsia="Arial" w:hAnsi="Arial"/>
          <w:b/>
          <w:bCs/>
          <w:i/>
          <w:iCs/>
          <w:color w:val="1E3A5F"/>
          <w:sz w:val="20"/>
          <w:szCs w:val="20"/>
        </w:rPr>
        <w:t xml:space="preserve">Ruta en el sistema: </w:t>
      </w:r>
      <w:r>
        <w:rPr>
          <w:rFonts w:ascii="Arial" w:cs="Arial" w:eastAsia="Arial" w:hAnsi="Arial"/>
          <w:i/>
          <w:iCs/>
          <w:color w:val="475569"/>
          <w:sz w:val="20"/>
          <w:szCs w:val="20"/>
        </w:rPr>
        <w:t xml:space="preserve">Compras → Órdenes de Pago → Nueva Orden de Pago → "Sin Orden de Compra"</w:t>
      </w:r>
    </w:p>
    <w:p>
      <w:pPr>
        <w:pStyle w:val="ListParagraph"/>
        <w:numPr>
          <w:ilvl w:val="0"/>
          <w:numId w:val="18"/>
        </w:numPr>
        <w:spacing w:after="100" w:line="280"/>
      </w:pPr>
      <w:r>
        <w:rPr>
          <w:rFonts w:ascii="Arial" w:cs="Arial" w:eastAsia="Arial" w:hAnsi="Arial"/>
          <w:color w:val="1E293B"/>
          <w:sz w:val="22"/>
          <w:szCs w:val="22"/>
        </w:rPr>
        <w:t xml:space="preserve">El Proveedor es opcional en este flujo (puedes dejarlo en blanco si el concepto lo explica, por ejemplo un impuesto).</w:t>
      </w:r>
    </w:p>
    <w:p>
      <w:pPr>
        <w:pStyle w:val="ListParagraph"/>
        <w:numPr>
          <w:ilvl w:val="0"/>
          <w:numId w:val="18"/>
        </w:numPr>
        <w:spacing w:after="100" w:line="280"/>
      </w:pPr>
      <w:r>
        <w:rPr>
          <w:rFonts w:ascii="Arial" w:cs="Arial" w:eastAsia="Arial" w:hAnsi="Arial"/>
          <w:color w:val="1E293B"/>
          <w:sz w:val="22"/>
          <w:szCs w:val="22"/>
        </w:rPr>
        <w:t xml:space="preserve">Elige el Centro de Costo (obligatorio).</w:t>
      </w:r>
    </w:p>
    <w:p>
      <w:pPr>
        <w:pStyle w:val="ListParagraph"/>
        <w:numPr>
          <w:ilvl w:val="0"/>
          <w:numId w:val="18"/>
        </w:numPr>
        <w:spacing w:after="100" w:line="280"/>
      </w:pPr>
      <w:r>
        <w:rPr>
          <w:rFonts w:ascii="Arial" w:cs="Arial" w:eastAsia="Arial" w:hAnsi="Arial"/>
          <w:color w:val="1E293B"/>
          <w:sz w:val="22"/>
          <w:szCs w:val="22"/>
        </w:rPr>
        <w:t xml:space="preserve">Elige el Área y, si aplica, el Frente — o bien usa "Distribución por Área" para repartir el monto total entre varias áreas, capturando una línea con descripción, área, frente y monto por cada una.</w:t>
      </w:r>
    </w:p>
    <w:p>
      <w:pPr>
        <w:pStyle w:val="ListParagraph"/>
        <w:numPr>
          <w:ilvl w:val="0"/>
          <w:numId w:val="18"/>
        </w:numPr>
        <w:spacing w:after="100" w:line="280"/>
      </w:pPr>
      <w:r>
        <w:rPr>
          <w:rFonts w:ascii="Arial" w:cs="Arial" w:eastAsia="Arial" w:hAnsi="Arial"/>
          <w:color w:val="1E293B"/>
          <w:sz w:val="22"/>
          <w:szCs w:val="22"/>
        </w:rPr>
        <w:t xml:space="preserve">Elige el Tipo de Gasto (la lista puede estar limitada según tu rol — ver capítulo 2.4) y el Monto (si no usaste líneas de distribución).</w:t>
      </w:r>
    </w:p>
    <w:p>
      <w:pPr>
        <w:pStyle w:val="ListParagraph"/>
        <w:numPr>
          <w:ilvl w:val="0"/>
          <w:numId w:val="18"/>
        </w:numPr>
        <w:spacing w:after="100" w:line="280"/>
      </w:pPr>
      <w:r>
        <w:rPr>
          <w:rFonts w:ascii="Arial" w:cs="Arial" w:eastAsia="Arial" w:hAnsi="Arial"/>
          <w:color w:val="1E293B"/>
          <w:sz w:val="22"/>
          <w:szCs w:val="22"/>
        </w:rPr>
        <w:t xml:space="preserve">Escribe el Concepto.</w:t>
      </w:r>
    </w:p>
    <w:p>
      <w:pPr>
        <w:pStyle w:val="ListParagraph"/>
        <w:numPr>
          <w:ilvl w:val="0"/>
          <w:numId w:val="18"/>
        </w:numPr>
        <w:spacing w:after="100" w:line="280"/>
      </w:pPr>
      <w:r>
        <w:rPr>
          <w:rFonts w:ascii="Arial" w:cs="Arial" w:eastAsia="Arial" w:hAnsi="Arial"/>
          <w:color w:val="1E293B"/>
          <w:sz w:val="22"/>
          <w:szCs w:val="22"/>
        </w:rPr>
        <w:t xml:space="preserve">Completa Forma de Pago, Vencimiento, Urgencia y Datos Bancarios del beneficiario.</w:t>
      </w:r>
    </w:p>
    <w:p>
      <w:pPr>
        <w:pStyle w:val="ListParagraph"/>
        <w:numPr>
          <w:ilvl w:val="0"/>
          <w:numId w:val="18"/>
        </w:numPr>
        <w:spacing w:after="100" w:line="280"/>
      </w:pPr>
      <w:r>
        <w:rPr>
          <w:rFonts w:ascii="Arial" w:cs="Arial" w:eastAsia="Arial" w:hAnsi="Arial"/>
          <w:color w:val="1E293B"/>
          <w:sz w:val="22"/>
          <w:szCs w:val="22"/>
        </w:rPr>
        <w:t xml:space="preserve">Adjunta la factura (PDF/XML) y cualquier soporte adicional (cotización, contrato, correo).</w:t>
      </w:r>
    </w:p>
    <w:p>
      <w:pPr>
        <w:pStyle w:val="ListParagraph"/>
        <w:numPr>
          <w:ilvl w:val="0"/>
          <w:numId w:val="18"/>
        </w:numPr>
        <w:spacing w:after="100" w:line="280"/>
      </w:pPr>
      <w:r>
        <w:rPr>
          <w:rFonts w:ascii="Arial" w:cs="Arial" w:eastAsia="Arial" w:hAnsi="Arial"/>
          <w:color w:val="1E293B"/>
          <w:sz w:val="22"/>
          <w:szCs w:val="22"/>
        </w:rPr>
        <w:t xml:space="preserve">Guarda. El estatus inicial es "Pendiente Auth" — este tipo de OP sí requiere autorización antes de pasar a Cuentas por Pagar.</w:t>
      </w:r>
    </w:p>
    <w:p>
      <w:pPr>
        <w:pBdr>
          <w:top w:val="single" w:color="2563EB" w:sz="4" w:space="6"/>
          <w:bottom w:val="single" w:color="2563EB" w:sz="4" w:space="6"/>
          <w:left w:val="single" w:color="2563EB" w:sz="4" w:space="6"/>
          <w:right w:val="single" w:color="2563EB" w:sz="4" w:space="6"/>
        </w:pBdr>
        <w:shd w:fill="DBEAFE" w:color="auto" w:val="clear"/>
        <w:spacing w:after="200" w:before="120"/>
        <w:ind w:left="60" w:right="60"/>
      </w:pPr>
      <w:r>
        <w:rPr>
          <w:rFonts w:ascii="Arial" w:cs="Arial" w:eastAsia="Arial" w:hAnsi="Arial"/>
          <w:b/>
          <w:bCs/>
          <w:i/>
          <w:iCs/>
          <w:color w:val="1E3A5F"/>
          <w:sz w:val="20"/>
          <w:szCs w:val="20"/>
        </w:rPr>
        <w:t xml:space="preserve">NOTA: </w:t>
      </w:r>
      <w:r>
        <w:rPr>
          <w:rFonts w:ascii="Arial" w:cs="Arial" w:eastAsia="Arial" w:hAnsi="Arial"/>
          <w:i/>
          <w:iCs/>
          <w:color w:val="1E3A5F"/>
          <w:sz w:val="20"/>
          <w:szCs w:val="20"/>
        </w:rPr>
        <w:t xml:space="preserve">Si al total de la distribución por área le falta alguna línea sin Área asignada, o si el total distribuido es cero, el sistema no permite guardar.</w:t>
      </w:r>
    </w:p>
    <w:p>
      <w:pPr>
        <w:pStyle w:val="Heading2"/>
        <w:spacing w:after="120" w:before="360"/>
      </w:pPr>
      <w:r>
        <w:rPr>
          <w:rFonts w:ascii="Arial" w:cs="Arial" w:eastAsia="Arial" w:hAnsi="Arial"/>
          <w:b/>
          <w:bCs/>
          <w:color w:val="2563EB"/>
          <w:sz w:val="28"/>
          <w:szCs w:val="28"/>
        </w:rPr>
        <w:t xml:space="preserve">12.4 Campo Urgencia</w:t>
      </w:r>
    </w:p>
    <w:p>
      <w:pPr>
        <w:spacing w:after="160" w:line="300"/>
      </w:pPr>
      <w:r>
        <w:rPr>
          <w:rFonts w:ascii="Arial" w:cs="Arial" w:eastAsia="Arial" w:hAnsi="Arial"/>
          <w:color w:val="1E293B"/>
          <w:sz w:val="22"/>
          <w:szCs w:val="22"/>
        </w:rPr>
        <w:t xml:space="preserve">Toda Orden de Pago tiene un campo Urgencia con cuatro valores: Crítica, Alta, Media (valor por defecto) y Baja. Sirve para que Tesorería priorice qué pagos atender primero cuando hay varias OP pendientes; se muestra en el detalle, en el formato impreso y con un color distintivo por nivel.</w:t>
      </w:r>
    </w:p>
    <w:p>
      <w:pPr>
        <w:pStyle w:val="Heading2"/>
        <w:spacing w:after="120" w:before="360"/>
      </w:pPr>
      <w:r>
        <w:rPr>
          <w:rFonts w:ascii="Arial" w:cs="Arial" w:eastAsia="Arial" w:hAnsi="Arial"/>
          <w:b/>
          <w:bCs/>
          <w:color w:val="2563EB"/>
          <w:sz w:val="28"/>
          <w:szCs w:val="28"/>
        </w:rPr>
        <w:t xml:space="preserve">12.5 Autorización de Órdenes de Pago sin OC</w:t>
      </w:r>
    </w:p>
    <w:p>
      <w:pPr>
        <w:spacing w:after="160" w:line="300"/>
      </w:pPr>
      <w:r>
        <w:rPr>
          <w:rFonts w:ascii="Arial" w:cs="Arial" w:eastAsia="Arial" w:hAnsi="Arial"/>
          <w:color w:val="1E293B"/>
          <w:sz w:val="22"/>
          <w:szCs w:val="22"/>
        </w:rPr>
        <w:t xml:space="preserve">Cuando una OP sin OC está en estatus "Pendiente Auth", los roles con este permiso (ver capítulo 2.3) ven un panel para escribir un comentario y presionar "Autorizar — enviar a CXP" o "Rechazar". Al autorizarse, el sistema registra quién autorizó y en qué momento, y la OP pasa a "Pendiente" en Cuentas por Pagar.</w:t>
      </w:r>
    </w:p>
    <w:p>
      <w:pPr>
        <w:pStyle w:val="Heading2"/>
        <w:spacing w:after="120" w:before="360"/>
      </w:pPr>
      <w:r>
        <w:rPr>
          <w:rFonts w:ascii="Arial" w:cs="Arial" w:eastAsia="Arial" w:hAnsi="Arial"/>
          <w:b/>
          <w:bCs/>
          <w:color w:val="2563EB"/>
          <w:sz w:val="28"/>
          <w:szCs w:val="28"/>
        </w:rPr>
        <w:t xml:space="preserve">12.6 Instrucciones y respuestas (hilo con Tesorería)</w:t>
      </w:r>
    </w:p>
    <w:p>
      <w:pPr>
        <w:spacing w:after="160" w:line="300"/>
      </w:pPr>
      <w:r>
        <w:rPr>
          <w:rFonts w:ascii="Arial" w:cs="Arial" w:eastAsia="Arial" w:hAnsi="Arial"/>
          <w:color w:val="1E293B"/>
          <w:sz w:val="22"/>
          <w:szCs w:val="22"/>
        </w:rPr>
        <w:t xml:space="preserve">Cada Orden de Pago tiene un hilo de mensajes donde quien la generó y Tesorería pueden dejarse notas (por ejemplo, para aclarar una fecha de pago o pedir un anticipo). Pueden escribir en el hilo quienes tienen permiso de escritura sobre Órdenes de Pago, y el rol Tesorería; el resto de los usuarios puede leerlo pero no responder.</w:t>
      </w:r>
    </w:p>
    <w:p>
      <w:pPr>
        <w:pStyle w:val="Heading2"/>
        <w:spacing w:after="120" w:before="360"/>
      </w:pPr>
      <w:r>
        <w:rPr>
          <w:rFonts w:ascii="Arial" w:cs="Arial" w:eastAsia="Arial" w:hAnsi="Arial"/>
          <w:b/>
          <w:bCs/>
          <w:color w:val="2563EB"/>
          <w:sz w:val="28"/>
          <w:szCs w:val="28"/>
        </w:rPr>
        <w:t xml:space="preserve">12.7 Documentos y edición posterior</w:t>
      </w:r>
    </w:p>
    <w:p>
      <w:pPr>
        <w:spacing w:after="160" w:line="300"/>
      </w:pPr>
      <w:r>
        <w:rPr>
          <w:rFonts w:ascii="Arial" w:cs="Arial" w:eastAsia="Arial" w:hAnsi="Arial"/>
          <w:color w:val="1E293B"/>
          <w:sz w:val="22"/>
          <w:szCs w:val="22"/>
        </w:rPr>
        <w:t xml:space="preserve">Una Orden de Pago puede editarse mientras su estatus sea Pendiente Auth, Pendiente o Rechazada. Una vez que ya recibió algún pago (Abonada o Pagada) el formulario de captura se cierra, pero si el estatus es Pagada y tienes permiso de escritura, puedes seguir adjuntando o reemplazando el PDF y el XML de la factura desde el propio detalle — útil cuando la factura del proveedor llega después de haberse pagado.</w:t>
      </w:r>
    </w:p>
    <w:p>
      <w:pPr>
        <w:pStyle w:val="Heading2"/>
        <w:spacing w:after="120" w:before="360"/>
      </w:pPr>
      <w:r>
        <w:rPr>
          <w:rFonts w:ascii="Arial" w:cs="Arial" w:eastAsia="Arial" w:hAnsi="Arial"/>
          <w:b/>
          <w:bCs/>
          <w:color w:val="2563EB"/>
          <w:sz w:val="28"/>
          <w:szCs w:val="28"/>
        </w:rPr>
        <w:t xml:space="preserve">12.8 Servicio de suministro asociado (CFE / Agua)</w:t>
      </w:r>
    </w:p>
    <w:p>
      <w:pPr>
        <w:spacing w:after="160" w:line="300"/>
      </w:pPr>
      <w:r>
        <w:rPr>
          <w:rFonts w:ascii="Arial" w:cs="Arial" w:eastAsia="Arial" w:hAnsi="Arial"/>
          <w:color w:val="1E293B"/>
          <w:sz w:val="22"/>
          <w:szCs w:val="22"/>
        </w:rPr>
        <w:t xml:space="preserve">Cuando el proveedor elegido corresponde al proveedor interno de servicios de suministro (energía eléctrica o agua), aparece un selector adicional de "Servicio asociado" tomado del catálogo de servicios. Al guardar la Orden de Pago, el sistema abre automáticamente un formulario para registrar el consumo del periodo (fechas, consumo en kWh o m³ y monto), que puedes completar o posponer con el botón "Omitir".</w:t>
      </w:r>
    </w:p>
    <w:p>
      <w:r>
        <w:br w:type="page"/>
      </w:r>
    </w:p>
    <w:p>
      <w:pPr>
        <w:pStyle w:val="Heading1"/>
        <w:pBdr>
          <w:bottom w:val="single" w:color="2563EB" w:sz="4" w:space="4"/>
        </w:pBdr>
        <w:spacing w:after="240" w:before="480"/>
      </w:pPr>
      <w:r>
        <w:rPr>
          <w:rFonts w:ascii="Arial" w:cs="Arial" w:eastAsia="Arial" w:hAnsi="Arial"/>
          <w:b/>
          <w:bCs/>
          <w:color w:val="1E3A5F"/>
          <w:sz w:val="36"/>
          <w:szCs w:val="36"/>
        </w:rPr>
        <w:t xml:space="preserve">13. Cuentas por Pagar (CXP)</w:t>
      </w:r>
    </w:p>
    <w:p>
      <w:pPr>
        <w:spacing w:after="160" w:line="300"/>
      </w:pPr>
      <w:r>
        <w:rPr>
          <w:rFonts w:ascii="Arial" w:cs="Arial" w:eastAsia="Arial" w:hAnsi="Arial"/>
          <w:color w:val="1E293B"/>
          <w:sz w:val="22"/>
          <w:szCs w:val="22"/>
        </w:rPr>
        <w:t xml:space="preserve">Cuentas por Pagar concentra el saldo pendiente con cada proveedor y permite registrar los pagos (abonos) de las Órdenes de Pago.</w:t>
      </w:r>
    </w:p>
    <w:p>
      <w:pPr>
        <w:pBdr>
          <w:top w:val="single" w:color="2563EB" w:sz="4" w:space="6"/>
          <w:bottom w:val="single" w:color="2563EB" w:sz="4" w:space="6"/>
          <w:left w:val="single" w:color="2563EB" w:sz="4" w:space="6"/>
          <w:right w:val="single" w:color="2563EB" w:sz="4" w:space="6"/>
        </w:pBdr>
        <w:shd w:fill="DBEAFE" w:color="auto" w:val="clear"/>
        <w:spacing w:after="200" w:before="120"/>
        <w:ind w:left="60" w:right="60"/>
      </w:pPr>
      <w:r>
        <w:rPr>
          <w:rFonts w:ascii="Arial" w:cs="Arial" w:eastAsia="Arial" w:hAnsi="Arial"/>
          <w:b/>
          <w:bCs/>
          <w:i/>
          <w:iCs/>
          <w:color w:val="1E3A5F"/>
          <w:sz w:val="20"/>
          <w:szCs w:val="20"/>
        </w:rPr>
        <w:t xml:space="preserve">IMPORTANTE: </w:t>
      </w:r>
      <w:r>
        <w:rPr>
          <w:rFonts w:ascii="Arial" w:cs="Arial" w:eastAsia="Arial" w:hAnsi="Arial"/>
          <w:i/>
          <w:iCs/>
          <w:color w:val="1E3A5F"/>
          <w:sz w:val="20"/>
          <w:szCs w:val="20"/>
        </w:rPr>
        <w:t xml:space="preserve">Este submódulo aún no tiene una tarjeta propia en la portada de Compras; se accede escribiendo directamente la dirección /compras/cxp en el navegador, siempre que tu rol tenga acceso al hub de Compras. Pídele a tu administrador el enlace directo si lo necesitas con frecuencia.</w:t>
      </w:r>
    </w:p>
    <w:p>
      <w:pPr>
        <w:pStyle w:val="Heading2"/>
        <w:spacing w:after="120" w:before="360"/>
      </w:pPr>
      <w:r>
        <w:rPr>
          <w:rFonts w:ascii="Arial" w:cs="Arial" w:eastAsia="Arial" w:hAnsi="Arial"/>
          <w:b/>
          <w:bCs/>
          <w:color w:val="2563EB"/>
          <w:sz w:val="28"/>
          <w:szCs w:val="28"/>
        </w:rPr>
        <w:t xml:space="preserve">13.1 Consulta por proveedor</w:t>
      </w:r>
    </w:p>
    <w:p>
      <w:pPr>
        <w:pBdr>
          <w:top w:val="single" w:color="CBD5E1" w:sz="2"/>
          <w:bottom w:val="single" w:color="CBD5E1" w:sz="2"/>
          <w:left w:val="single" w:color="CBD5E1" w:sz="2"/>
          <w:right w:val="single" w:color="CBD5E1" w:sz="2"/>
        </w:pBdr>
        <w:shd w:fill="EEF2F7" w:color="auto" w:val="clear"/>
        <w:spacing w:after="160" w:before="120"/>
      </w:pPr>
      <w:r>
        <w:rPr>
          <w:rFonts w:ascii="Arial" w:cs="Arial" w:eastAsia="Arial" w:hAnsi="Arial"/>
          <w:b/>
          <w:bCs/>
          <w:i/>
          <w:iCs/>
          <w:color w:val="1E3A5F"/>
          <w:sz w:val="20"/>
          <w:szCs w:val="20"/>
        </w:rPr>
        <w:t xml:space="preserve">Ruta en el sistema: </w:t>
      </w:r>
      <w:r>
        <w:rPr>
          <w:rFonts w:ascii="Arial" w:cs="Arial" w:eastAsia="Arial" w:hAnsi="Arial"/>
          <w:i/>
          <w:iCs/>
          <w:color w:val="475569"/>
          <w:sz w:val="20"/>
          <w:szCs w:val="20"/>
        </w:rPr>
        <w:t xml:space="preserve">Compras → Cuentas por Pagar (acceso directo)</w:t>
      </w:r>
    </w:p>
    <w:p>
      <w:pPr>
        <w:spacing w:after="160" w:line="300"/>
      </w:pPr>
      <w:r>
        <w:rPr>
          <w:rFonts w:ascii="Arial" w:cs="Arial" w:eastAsia="Arial" w:hAnsi="Arial"/>
          <w:color w:val="1E293B"/>
          <w:sz w:val="22"/>
          <w:szCs w:val="22"/>
        </w:rPr>
        <w:t xml:space="preserve">La pestaña "Por Proveedor" lista a cada proveedor con saldo pendiente, junto con el número de Órdenes de Pago abiertas, el saldo total y el monto vencido. Al abrir un proveedor puedes ver el detalle de todas sus Órdenes de Pago (pagadas y pendientes) e imprimir su Estado de Cuenta.</w:t>
      </w:r>
    </w:p>
    <w:p>
      <w:pPr>
        <w:pStyle w:val="Heading2"/>
        <w:spacing w:after="120" w:before="360"/>
      </w:pPr>
      <w:r>
        <w:rPr>
          <w:rFonts w:ascii="Arial" w:cs="Arial" w:eastAsia="Arial" w:hAnsi="Arial"/>
          <w:b/>
          <w:bCs/>
          <w:color w:val="2563EB"/>
          <w:sz w:val="28"/>
          <w:szCs w:val="28"/>
        </w:rPr>
        <w:t xml:space="preserve">13.2 Antigüedad de saldos</w:t>
      </w:r>
    </w:p>
    <w:p>
      <w:pPr>
        <w:spacing w:after="160" w:line="300"/>
      </w:pPr>
      <w:r>
        <w:rPr>
          <w:rFonts w:ascii="Arial" w:cs="Arial" w:eastAsia="Arial" w:hAnsi="Arial"/>
          <w:color w:val="1E293B"/>
          <w:sz w:val="22"/>
          <w:szCs w:val="22"/>
        </w:rPr>
        <w:t xml:space="preserve">La pestaña "Antigüedad de Saldos" agrupa el saldo pendiente en bandas según los días transcurridos desde la fecha de vencimiento: Por vencer, 1-30 días, 31-60 días, 61-90 días y más de 90 días, con el monto y número de documentos de cada banda.</w:t>
      </w:r>
    </w:p>
    <w:p>
      <w:pPr>
        <w:pStyle w:val="Heading2"/>
        <w:spacing w:after="120" w:before="360"/>
      </w:pPr>
      <w:r>
        <w:rPr>
          <w:rFonts w:ascii="Arial" w:cs="Arial" w:eastAsia="Arial" w:hAnsi="Arial"/>
          <w:b/>
          <w:bCs/>
          <w:color w:val="2563EB"/>
          <w:sz w:val="28"/>
          <w:szCs w:val="28"/>
        </w:rPr>
        <w:t xml:space="preserve">13.3 Registrar un pago</w:t>
      </w:r>
    </w:p>
    <w:p>
      <w:pPr>
        <w:pStyle w:val="ListParagraph"/>
        <w:numPr>
          <w:ilvl w:val="0"/>
          <w:numId w:val="19"/>
        </w:numPr>
        <w:spacing w:after="100" w:line="280"/>
      </w:pPr>
      <w:r>
        <w:rPr>
          <w:rFonts w:ascii="Arial" w:cs="Arial" w:eastAsia="Arial" w:hAnsi="Arial"/>
          <w:color w:val="1E293B"/>
          <w:sz w:val="22"/>
          <w:szCs w:val="22"/>
        </w:rPr>
        <w:t xml:space="preserve">Abre la Orden de Pago desde cualquiera de las dos pestañas.</w:t>
      </w:r>
    </w:p>
    <w:p>
      <w:pPr>
        <w:pStyle w:val="ListParagraph"/>
        <w:numPr>
          <w:ilvl w:val="0"/>
          <w:numId w:val="19"/>
        </w:numPr>
        <w:spacing w:after="100" w:line="280"/>
      </w:pPr>
      <w:r>
        <w:rPr>
          <w:rFonts w:ascii="Arial" w:cs="Arial" w:eastAsia="Arial" w:hAnsi="Arial"/>
          <w:color w:val="1E293B"/>
          <w:sz w:val="22"/>
          <w:szCs w:val="22"/>
        </w:rPr>
        <w:t xml:space="preserve">Presiona "Registrar Pago".</w:t>
      </w:r>
    </w:p>
    <w:p>
      <w:pPr>
        <w:pStyle w:val="ListParagraph"/>
        <w:numPr>
          <w:ilvl w:val="0"/>
          <w:numId w:val="19"/>
        </w:numPr>
        <w:spacing w:after="100" w:line="280"/>
      </w:pPr>
      <w:r>
        <w:rPr>
          <w:rFonts w:ascii="Arial" w:cs="Arial" w:eastAsia="Arial" w:hAnsi="Arial"/>
          <w:color w:val="1E293B"/>
          <w:sz w:val="22"/>
          <w:szCs w:val="22"/>
        </w:rPr>
        <w:t xml:space="preserve">Marca "Pago total" para que el sistema tome automáticamente el saldo pendiente, o desmárcalo para capturar un abono parcial.</w:t>
      </w:r>
    </w:p>
    <w:p>
      <w:pPr>
        <w:pStyle w:val="ListParagraph"/>
        <w:numPr>
          <w:ilvl w:val="0"/>
          <w:numId w:val="19"/>
        </w:numPr>
        <w:spacing w:after="100" w:line="280"/>
      </w:pPr>
      <w:r>
        <w:rPr>
          <w:rFonts w:ascii="Arial" w:cs="Arial" w:eastAsia="Arial" w:hAnsi="Arial"/>
          <w:color w:val="1E293B"/>
          <w:sz w:val="22"/>
          <w:szCs w:val="22"/>
        </w:rPr>
        <w:t xml:space="preserve">Elige Forma de Pago, No. de Referencia y, si aplica, la Cuenta Bancaria de origen (el sistema muestra el saldo disponible de esa cuenta y advierte, sin bloquear, si el monto lo excede).</w:t>
      </w:r>
    </w:p>
    <w:p>
      <w:pPr>
        <w:pStyle w:val="ListParagraph"/>
        <w:numPr>
          <w:ilvl w:val="0"/>
          <w:numId w:val="19"/>
        </w:numPr>
        <w:spacing w:after="100" w:line="280"/>
      </w:pPr>
      <w:r>
        <w:rPr>
          <w:rFonts w:ascii="Arial" w:cs="Arial" w:eastAsia="Arial" w:hAnsi="Arial"/>
          <w:color w:val="1E293B"/>
          <w:sz w:val="22"/>
          <w:szCs w:val="22"/>
        </w:rPr>
        <w:t xml:space="preserve">Adjunta el Comprobante de Pago (transferencia o depósito) y, si ya lo tienes, el Complemento de Pago del SAT.</w:t>
      </w:r>
    </w:p>
    <w:p>
      <w:pPr>
        <w:pStyle w:val="ListParagraph"/>
        <w:numPr>
          <w:ilvl w:val="0"/>
          <w:numId w:val="19"/>
        </w:numPr>
        <w:spacing w:after="100" w:line="280"/>
      </w:pPr>
      <w:r>
        <w:rPr>
          <w:rFonts w:ascii="Arial" w:cs="Arial" w:eastAsia="Arial" w:hAnsi="Arial"/>
          <w:color w:val="1E293B"/>
          <w:sz w:val="22"/>
          <w:szCs w:val="22"/>
        </w:rPr>
        <w:t xml:space="preserve">Presiona "Registrar Pago Total" o "Registrar Pago Parcial".</w:t>
      </w:r>
    </w:p>
    <w:p>
      <w:pPr>
        <w:spacing w:after="160" w:line="300"/>
      </w:pPr>
      <w:r>
        <w:rPr>
          <w:rFonts w:ascii="Arial" w:cs="Arial" w:eastAsia="Arial" w:hAnsi="Arial"/>
          <w:color w:val="1E293B"/>
          <w:sz w:val="22"/>
          <w:szCs w:val="22"/>
        </w:rPr>
        <w:t xml:space="preserve">Al guardar, el sistema actualiza el saldo y el estatus de la Orden de Pago (Abonada o Pagada) y, si elegiste una cuenta bancaria, registra el cargo en Tesorería y descuenta el saldo de esa cuenta automáticamente.</w:t>
      </w:r>
    </w:p>
    <w:p>
      <w:r>
        <w:br w:type="page"/>
      </w:r>
    </w:p>
    <w:p>
      <w:pPr>
        <w:pStyle w:val="Heading1"/>
        <w:pBdr>
          <w:bottom w:val="single" w:color="2563EB" w:sz="4" w:space="4"/>
        </w:pBdr>
        <w:spacing w:after="240" w:before="480"/>
      </w:pPr>
      <w:r>
        <w:rPr>
          <w:rFonts w:ascii="Arial" w:cs="Arial" w:eastAsia="Arial" w:hAnsi="Arial"/>
          <w:b/>
          <w:bCs/>
          <w:color w:val="1E3A5F"/>
          <w:sz w:val="36"/>
          <w:szCs w:val="36"/>
        </w:rPr>
        <w:t xml:space="preserve">14. Caja Chica</w:t>
      </w:r>
    </w:p>
    <w:p>
      <w:pPr>
        <w:spacing w:after="160" w:line="300"/>
      </w:pPr>
      <w:r>
        <w:rPr>
          <w:rFonts w:ascii="Arial" w:cs="Arial" w:eastAsia="Arial" w:hAnsi="Arial"/>
          <w:color w:val="1E293B"/>
          <w:sz w:val="22"/>
          <w:szCs w:val="22"/>
        </w:rPr>
        <w:t xml:space="preserve">Caja Chica administra los fondos de efectivo asignados a un responsable para cubrir gastos menores, y el proceso de reembolso de esos gastos.</w:t>
      </w:r>
    </w:p>
    <w:p>
      <w:pPr>
        <w:pBdr>
          <w:top w:val="single" w:color="2563EB" w:sz="4" w:space="6"/>
          <w:bottom w:val="single" w:color="2563EB" w:sz="4" w:space="6"/>
          <w:left w:val="single" w:color="2563EB" w:sz="4" w:space="6"/>
          <w:right w:val="single" w:color="2563EB" w:sz="4" w:space="6"/>
        </w:pBdr>
        <w:shd w:fill="DBEAFE" w:color="auto" w:val="clear"/>
        <w:spacing w:after="200" w:before="120"/>
        <w:ind w:left="60" w:right="60"/>
      </w:pPr>
      <w:r>
        <w:rPr>
          <w:rFonts w:ascii="Arial" w:cs="Arial" w:eastAsia="Arial" w:hAnsi="Arial"/>
          <w:b/>
          <w:bCs/>
          <w:i/>
          <w:iCs/>
          <w:color w:val="1E3A5F"/>
          <w:sz w:val="20"/>
          <w:szCs w:val="20"/>
        </w:rPr>
        <w:t xml:space="preserve">NOTA: </w:t>
      </w:r>
      <w:r>
        <w:rPr>
          <w:rFonts w:ascii="Arial" w:cs="Arial" w:eastAsia="Arial" w:hAnsi="Arial"/>
          <w:i/>
          <w:iCs/>
          <w:color w:val="1E3A5F"/>
          <w:sz w:val="20"/>
          <w:szCs w:val="20"/>
        </w:rPr>
        <w:t xml:space="preserve">Cualquier usuario con sesión activa puede abrir esta pantalla desde la portada de Compras, aunque no tenga otro acceso al módulo, para registrar sus propios reembolsos si cuenta con un fondo asignado.</w:t>
      </w:r>
    </w:p>
    <w:p>
      <w:pPr>
        <w:pStyle w:val="Heading2"/>
        <w:spacing w:after="120" w:before="360"/>
      </w:pPr>
      <w:r>
        <w:rPr>
          <w:rFonts w:ascii="Arial" w:cs="Arial" w:eastAsia="Arial" w:hAnsi="Arial"/>
          <w:b/>
          <w:bCs/>
          <w:color w:val="2563EB"/>
          <w:sz w:val="28"/>
          <w:szCs w:val="28"/>
        </w:rPr>
        <w:t xml:space="preserve">14.1 Fondos asignados</w:t>
      </w:r>
    </w:p>
    <w:p>
      <w:pPr>
        <w:pBdr>
          <w:top w:val="single" w:color="CBD5E1" w:sz="2"/>
          <w:bottom w:val="single" w:color="CBD5E1" w:sz="2"/>
          <w:left w:val="single" w:color="CBD5E1" w:sz="2"/>
          <w:right w:val="single" w:color="CBD5E1" w:sz="2"/>
        </w:pBdr>
        <w:shd w:fill="EEF2F7" w:color="auto" w:val="clear"/>
        <w:spacing w:after="160" w:before="120"/>
      </w:pPr>
      <w:r>
        <w:rPr>
          <w:rFonts w:ascii="Arial" w:cs="Arial" w:eastAsia="Arial" w:hAnsi="Arial"/>
          <w:b/>
          <w:bCs/>
          <w:i/>
          <w:iCs/>
          <w:color w:val="1E3A5F"/>
          <w:sz w:val="20"/>
          <w:szCs w:val="20"/>
        </w:rPr>
        <w:t xml:space="preserve">Ruta en el sistema: </w:t>
      </w:r>
      <w:r>
        <w:rPr>
          <w:rFonts w:ascii="Arial" w:cs="Arial" w:eastAsia="Arial" w:hAnsi="Arial"/>
          <w:i/>
          <w:iCs/>
          <w:color w:val="475569"/>
          <w:sz w:val="20"/>
          <w:szCs w:val="20"/>
        </w:rPr>
        <w:t xml:space="preserve">Compras → Caja Chica → pestaña Fondos → Asignar Fondo</w:t>
      </w:r>
    </w:p>
    <w:p>
      <w:pPr>
        <w:spacing w:after="160" w:line="300"/>
      </w:pPr>
      <w:r>
        <w:rPr>
          <w:rFonts w:ascii="Arial" w:cs="Arial" w:eastAsia="Arial" w:hAnsi="Arial"/>
          <w:color w:val="1E293B"/>
          <w:sz w:val="22"/>
          <w:szCs w:val="22"/>
        </w:rPr>
        <w:t xml:space="preserve">Solo Superadmin, Administrador y Supervisor de Compras pueden asignar o editar fondos.</w:t>
      </w:r>
    </w:p>
    <w:p>
      <w:pPr>
        <w:pStyle w:val="ListParagraph"/>
        <w:numPr>
          <w:ilvl w:val="0"/>
          <w:numId w:val="20"/>
        </w:numPr>
        <w:spacing w:after="100" w:line="280"/>
      </w:pPr>
      <w:r>
        <w:rPr>
          <w:rFonts w:ascii="Arial" w:cs="Arial" w:eastAsia="Arial" w:hAnsi="Arial"/>
          <w:color w:val="1E293B"/>
          <w:sz w:val="22"/>
          <w:szCs w:val="22"/>
        </w:rPr>
        <w:t xml:space="preserve">Elige el Usuario beneficiario.</w:t>
      </w:r>
    </w:p>
    <w:p>
      <w:pPr>
        <w:pStyle w:val="ListParagraph"/>
        <w:numPr>
          <w:ilvl w:val="0"/>
          <w:numId w:val="20"/>
        </w:numPr>
        <w:spacing w:after="100" w:line="280"/>
      </w:pPr>
      <w:r>
        <w:rPr>
          <w:rFonts w:ascii="Arial" w:cs="Arial" w:eastAsia="Arial" w:hAnsi="Arial"/>
          <w:color w:val="1E293B"/>
          <w:sz w:val="22"/>
          <w:szCs w:val="22"/>
        </w:rPr>
        <w:t xml:space="preserve">Captura el Monto Asignado.</w:t>
      </w:r>
    </w:p>
    <w:p>
      <w:pPr>
        <w:pStyle w:val="ListParagraph"/>
        <w:numPr>
          <w:ilvl w:val="0"/>
          <w:numId w:val="20"/>
        </w:numPr>
        <w:spacing w:after="100" w:line="280"/>
      </w:pPr>
      <w:r>
        <w:rPr>
          <w:rFonts w:ascii="Arial" w:cs="Arial" w:eastAsia="Arial" w:hAnsi="Arial"/>
          <w:color w:val="1E293B"/>
          <w:sz w:val="22"/>
          <w:szCs w:val="22"/>
        </w:rPr>
        <w:t xml:space="preserve">Confirma la Fecha de Apertura y, si corresponde, la Fecha de Cierre.</w:t>
      </w:r>
    </w:p>
    <w:p>
      <w:pPr>
        <w:pStyle w:val="ListParagraph"/>
        <w:numPr>
          <w:ilvl w:val="0"/>
          <w:numId w:val="20"/>
        </w:numPr>
        <w:spacing w:after="100" w:line="280"/>
      </w:pPr>
      <w:r>
        <w:rPr>
          <w:rFonts w:ascii="Arial" w:cs="Arial" w:eastAsia="Arial" w:hAnsi="Arial"/>
          <w:color w:val="1E293B"/>
          <w:sz w:val="22"/>
          <w:szCs w:val="22"/>
        </w:rPr>
        <w:t xml:space="preserve">Elige el Status: Activo, Suspendido o Cerrado.</w:t>
      </w:r>
    </w:p>
    <w:p>
      <w:pPr>
        <w:pStyle w:val="ListParagraph"/>
        <w:numPr>
          <w:ilvl w:val="0"/>
          <w:numId w:val="20"/>
        </w:numPr>
        <w:spacing w:after="100" w:line="280"/>
      </w:pPr>
      <w:r>
        <w:rPr>
          <w:rFonts w:ascii="Arial" w:cs="Arial" w:eastAsia="Arial" w:hAnsi="Arial"/>
          <w:color w:val="1E293B"/>
          <w:sz w:val="22"/>
          <w:szCs w:val="22"/>
        </w:rPr>
        <w:t xml:space="preserve">Guarda.</w:t>
      </w:r>
    </w:p>
    <w:p>
      <w:pPr>
        <w:pStyle w:val="Heading2"/>
        <w:spacing w:after="120" w:before="360"/>
      </w:pPr>
      <w:r>
        <w:rPr>
          <w:rFonts w:ascii="Arial" w:cs="Arial" w:eastAsia="Arial" w:hAnsi="Arial"/>
          <w:b/>
          <w:bCs/>
          <w:color w:val="2563EB"/>
          <w:sz w:val="28"/>
          <w:szCs w:val="28"/>
        </w:rPr>
        <w:t xml:space="preserve">14.2 Crear un reembolso</w:t>
      </w:r>
    </w:p>
    <w:p>
      <w:pPr>
        <w:pBdr>
          <w:top w:val="single" w:color="CBD5E1" w:sz="2"/>
          <w:bottom w:val="single" w:color="CBD5E1" w:sz="2"/>
          <w:left w:val="single" w:color="CBD5E1" w:sz="2"/>
          <w:right w:val="single" w:color="CBD5E1" w:sz="2"/>
        </w:pBdr>
        <w:shd w:fill="EEF2F7" w:color="auto" w:val="clear"/>
        <w:spacing w:after="160" w:before="120"/>
      </w:pPr>
      <w:r>
        <w:rPr>
          <w:rFonts w:ascii="Arial" w:cs="Arial" w:eastAsia="Arial" w:hAnsi="Arial"/>
          <w:b/>
          <w:bCs/>
          <w:i/>
          <w:iCs/>
          <w:color w:val="1E3A5F"/>
          <w:sz w:val="20"/>
          <w:szCs w:val="20"/>
        </w:rPr>
        <w:t xml:space="preserve">Ruta en el sistema: </w:t>
      </w:r>
      <w:r>
        <w:rPr>
          <w:rFonts w:ascii="Arial" w:cs="Arial" w:eastAsia="Arial" w:hAnsi="Arial"/>
          <w:i/>
          <w:iCs/>
          <w:color w:val="475569"/>
          <w:sz w:val="20"/>
          <w:szCs w:val="20"/>
        </w:rPr>
        <w:t xml:space="preserve">Compras → Caja Chica → Nuevo Reembolso</w:t>
      </w:r>
    </w:p>
    <w:p>
      <w:pPr>
        <w:pStyle w:val="ListParagraph"/>
        <w:numPr>
          <w:ilvl w:val="0"/>
          <w:numId w:val="21"/>
        </w:numPr>
        <w:spacing w:after="100" w:line="280"/>
      </w:pPr>
      <w:r>
        <w:rPr>
          <w:rFonts w:ascii="Arial" w:cs="Arial" w:eastAsia="Arial" w:hAnsi="Arial"/>
          <w:color w:val="1E293B"/>
          <w:sz w:val="22"/>
          <w:szCs w:val="22"/>
        </w:rPr>
        <w:t xml:space="preserve">Confirma la Fecha y, si quieres, una Observación general.</w:t>
      </w:r>
    </w:p>
    <w:p>
      <w:pPr>
        <w:pStyle w:val="ListParagraph"/>
        <w:numPr>
          <w:ilvl w:val="0"/>
          <w:numId w:val="21"/>
        </w:numPr>
        <w:spacing w:after="100" w:line="280"/>
      </w:pPr>
      <w:r>
        <w:rPr>
          <w:rFonts w:ascii="Arial" w:cs="Arial" w:eastAsia="Arial" w:hAnsi="Arial"/>
          <w:color w:val="1E293B"/>
          <w:sz w:val="22"/>
          <w:szCs w:val="22"/>
        </w:rPr>
        <w:t xml:space="preserve">Agrega una línea por cada gasto: Concepto, Monto, Categoría (Producto, Servicio, Viáticos, Combustible u Otro), Tipo de Comprobante (Factura, Nota de Remisión, Ticket o Sin comprobante) y su número.</w:t>
      </w:r>
    </w:p>
    <w:p>
      <w:pPr>
        <w:pStyle w:val="ListParagraph"/>
        <w:numPr>
          <w:ilvl w:val="0"/>
          <w:numId w:val="21"/>
        </w:numPr>
        <w:spacing w:after="100" w:line="280"/>
      </w:pPr>
      <w:r>
        <w:rPr>
          <w:rFonts w:ascii="Arial" w:cs="Arial" w:eastAsia="Arial" w:hAnsi="Arial"/>
          <w:color w:val="1E293B"/>
          <w:sz w:val="22"/>
          <w:szCs w:val="22"/>
        </w:rPr>
        <w:t xml:space="preserve">Clasifica cada gasto con Centro de Costo, Área y Frente si lo necesitas.</w:t>
      </w:r>
    </w:p>
    <w:p>
      <w:pPr>
        <w:pStyle w:val="ListParagraph"/>
        <w:numPr>
          <w:ilvl w:val="0"/>
          <w:numId w:val="21"/>
        </w:numPr>
        <w:spacing w:after="100" w:line="280"/>
      </w:pPr>
      <w:r>
        <w:rPr>
          <w:rFonts w:ascii="Arial" w:cs="Arial" w:eastAsia="Arial" w:hAnsi="Arial"/>
          <w:color w:val="1E293B"/>
          <w:sz w:val="22"/>
          <w:szCs w:val="22"/>
        </w:rPr>
        <w:t xml:space="preserve">Adjunta una foto o PDF del comprobante de cada línea.</w:t>
      </w:r>
    </w:p>
    <w:p>
      <w:pPr>
        <w:pStyle w:val="ListParagraph"/>
        <w:numPr>
          <w:ilvl w:val="0"/>
          <w:numId w:val="21"/>
        </w:numPr>
        <w:spacing w:after="100" w:line="280"/>
      </w:pPr>
      <w:r>
        <w:rPr>
          <w:rFonts w:ascii="Arial" w:cs="Arial" w:eastAsia="Arial" w:hAnsi="Arial"/>
          <w:color w:val="1E293B"/>
          <w:sz w:val="22"/>
          <w:szCs w:val="22"/>
        </w:rPr>
        <w:t xml:space="preserve">Repite con "Agregar línea" para más gastos.</w:t>
      </w:r>
    </w:p>
    <w:p>
      <w:pPr>
        <w:pStyle w:val="ListParagraph"/>
        <w:numPr>
          <w:ilvl w:val="0"/>
          <w:numId w:val="21"/>
        </w:numPr>
        <w:spacing w:after="100" w:line="280"/>
      </w:pPr>
      <w:r>
        <w:rPr>
          <w:rFonts w:ascii="Arial" w:cs="Arial" w:eastAsia="Arial" w:hAnsi="Arial"/>
          <w:color w:val="1E293B"/>
          <w:sz w:val="22"/>
          <w:szCs w:val="22"/>
        </w:rPr>
        <w:t xml:space="preserve">Guarda como Borrador, o presiona "Enviar a autorización" cuando esté completo.</w:t>
      </w:r>
    </w:p>
    <w:p>
      <w:pPr>
        <w:pStyle w:val="Heading2"/>
        <w:spacing w:after="120" w:before="360"/>
      </w:pPr>
      <w:r>
        <w:rPr>
          <w:rFonts w:ascii="Arial" w:cs="Arial" w:eastAsia="Arial" w:hAnsi="Arial"/>
          <w:b/>
          <w:bCs/>
          <w:color w:val="2563EB"/>
          <w:sz w:val="28"/>
          <w:szCs w:val="28"/>
        </w:rPr>
        <w:t xml:space="preserve">14.3 Autorización y generación automática de la Orden de Pago</w:t>
      </w:r>
    </w:p>
    <w:p>
      <w:pPr>
        <w:spacing w:after="160" w:line="300"/>
      </w:pPr>
      <w:r>
        <w:rPr>
          <w:rFonts w:ascii="Arial" w:cs="Arial" w:eastAsia="Arial" w:hAnsi="Arial"/>
          <w:color w:val="1E293B"/>
          <w:sz w:val="22"/>
          <w:szCs w:val="22"/>
        </w:rPr>
        <w:t xml:space="preserve">Quien tenga permiso general de autorización revisa el reembolso en estatus "Pendiente Auth" y puede Aprobar o Rechazar, con un comentario opcional. Al aprobar:</w:t>
      </w:r>
    </w:p>
    <w:p>
      <w:pPr>
        <w:pStyle w:val="ListParagraph"/>
        <w:numPr>
          <w:ilvl w:val="0"/>
          <w:numId w:val="2"/>
        </w:numPr>
        <w:spacing w:after="80" w:line="280"/>
      </w:pPr>
      <w:r>
        <w:rPr>
          <w:rFonts w:ascii="Arial" w:cs="Arial" w:eastAsia="Arial" w:hAnsi="Arial"/>
          <w:color w:val="1E293B"/>
          <w:sz w:val="22"/>
          <w:szCs w:val="22"/>
        </w:rPr>
        <w:t xml:space="preserve">El sistema busca o crea automáticamente un proveedor de tipo "empleado" para ese usuario (con clave EMP-xxxxxxxx), usado únicamente para poder generar el pago.</w:t>
      </w:r>
    </w:p>
    <w:p>
      <w:pPr>
        <w:pStyle w:val="ListParagraph"/>
        <w:numPr>
          <w:ilvl w:val="0"/>
          <w:numId w:val="2"/>
        </w:numPr>
        <w:spacing w:after="80" w:line="280"/>
      </w:pPr>
      <w:r>
        <w:rPr>
          <w:rFonts w:ascii="Arial" w:cs="Arial" w:eastAsia="Arial" w:hAnsi="Arial"/>
          <w:color w:val="1E293B"/>
          <w:sz w:val="22"/>
          <w:szCs w:val="22"/>
        </w:rPr>
        <w:t xml:space="preserve">Genera de forma automática una Orden de Pago por el monto total del reembolso, en estatus "Pendiente", ya lista en Cuentas por Pagar.</w:t>
      </w:r>
    </w:p>
    <w:p>
      <w:pPr>
        <w:pStyle w:val="ListParagraph"/>
        <w:numPr>
          <w:ilvl w:val="0"/>
          <w:numId w:val="2"/>
        </w:numPr>
        <w:spacing w:after="80" w:line="280"/>
      </w:pPr>
      <w:r>
        <w:rPr>
          <w:rFonts w:ascii="Arial" w:cs="Arial" w:eastAsia="Arial" w:hAnsi="Arial"/>
          <w:color w:val="1E293B"/>
          <w:sz w:val="22"/>
          <w:szCs w:val="22"/>
        </w:rPr>
        <w:t xml:space="preserve">Enlaza esa Orden de Pago al reembolso para consulta posterior.</w:t>
      </w:r>
    </w:p>
    <w:p>
      <w:pPr>
        <w:spacing w:after="160" w:line="300"/>
      </w:pPr>
      <w:r>
        <w:rPr>
          <w:rFonts w:ascii="Arial" w:cs="Arial" w:eastAsia="Arial" w:hAnsi="Arial"/>
          <w:color w:val="1E293B"/>
          <w:sz w:val="22"/>
          <w:szCs w:val="22"/>
        </w:rPr>
        <w:t xml:space="preserve">El comprobante de reembolso es imprimible, con el detalle de gastos y espacios de firma para Elaboró, Autorizó y Recibió/Conforme.</w:t>
      </w:r>
    </w:p>
    <w:p>
      <w:r>
        <w:br w:type="page"/>
      </w:r>
    </w:p>
    <w:p>
      <w:pPr>
        <w:pStyle w:val="Heading1"/>
        <w:pBdr>
          <w:bottom w:val="single" w:color="2563EB" w:sz="4" w:space="4"/>
        </w:pBdr>
        <w:spacing w:after="240" w:before="480"/>
      </w:pPr>
      <w:r>
        <w:rPr>
          <w:rFonts w:ascii="Arial" w:cs="Arial" w:eastAsia="Arial" w:hAnsi="Arial"/>
          <w:b/>
          <w:bCs/>
          <w:color w:val="1E3A5F"/>
          <w:sz w:val="36"/>
          <w:szCs w:val="36"/>
        </w:rPr>
        <w:t xml:space="preserve">15. Combustible</w:t>
      </w:r>
    </w:p>
    <w:p>
      <w:pPr>
        <w:spacing w:after="160" w:line="300"/>
      </w:pPr>
      <w:r>
        <w:rPr>
          <w:rFonts w:ascii="Arial" w:cs="Arial" w:eastAsia="Arial" w:hAnsi="Arial"/>
          <w:color w:val="1E293B"/>
          <w:sz w:val="22"/>
          <w:szCs w:val="22"/>
        </w:rPr>
        <w:t xml:space="preserve">El submódulo de Combustible lleva el control de resguardo físico del tanque de combustible de la organización: gasolina Magna, Premium y Diésel. Es independiente del catálogo general de Artículos e Inventario.</w:t>
      </w:r>
    </w:p>
    <w:p>
      <w:pPr>
        <w:pStyle w:val="Heading2"/>
        <w:spacing w:after="120" w:before="360"/>
      </w:pPr>
      <w:r>
        <w:rPr>
          <w:rFonts w:ascii="Arial" w:cs="Arial" w:eastAsia="Arial" w:hAnsi="Arial"/>
          <w:b/>
          <w:bCs/>
          <w:color w:val="2563EB"/>
          <w:sz w:val="28"/>
          <w:szCs w:val="28"/>
        </w:rPr>
        <w:t xml:space="preserve">15.1 Consultar el kardex de combustible</w:t>
      </w:r>
    </w:p>
    <w:p>
      <w:pPr>
        <w:pBdr>
          <w:top w:val="single" w:color="CBD5E1" w:sz="2"/>
          <w:bottom w:val="single" w:color="CBD5E1" w:sz="2"/>
          <w:left w:val="single" w:color="CBD5E1" w:sz="2"/>
          <w:right w:val="single" w:color="CBD5E1" w:sz="2"/>
        </w:pBdr>
        <w:shd w:fill="EEF2F7" w:color="auto" w:val="clear"/>
        <w:spacing w:after="160" w:before="120"/>
      </w:pPr>
      <w:r>
        <w:rPr>
          <w:rFonts w:ascii="Arial" w:cs="Arial" w:eastAsia="Arial" w:hAnsi="Arial"/>
          <w:b/>
          <w:bCs/>
          <w:i/>
          <w:iCs/>
          <w:color w:val="1E3A5F"/>
          <w:sz w:val="20"/>
          <w:szCs w:val="20"/>
        </w:rPr>
        <w:t xml:space="preserve">Ruta en el sistema: </w:t>
      </w:r>
      <w:r>
        <w:rPr>
          <w:rFonts w:ascii="Arial" w:cs="Arial" w:eastAsia="Arial" w:hAnsi="Arial"/>
          <w:i/>
          <w:iCs/>
          <w:color w:val="475569"/>
          <w:sz w:val="20"/>
          <w:szCs w:val="20"/>
        </w:rPr>
        <w:t xml:space="preserve">Compras → Combustible</w:t>
      </w:r>
    </w:p>
    <w:p>
      <w:pPr>
        <w:spacing w:after="160" w:line="300"/>
      </w:pPr>
      <w:r>
        <w:rPr>
          <w:rFonts w:ascii="Arial" w:cs="Arial" w:eastAsia="Arial" w:hAnsi="Arial"/>
          <w:color w:val="1E293B"/>
          <w:sz w:val="22"/>
          <w:szCs w:val="22"/>
        </w:rPr>
        <w:t xml:space="preserve">Cada uno de los tres tipos de combustible tiene su propia pestaña con un saldo acumulado en litros y el total de entradas y salidas. La tabla de movimientos muestra fecha, tipo, litros, precio por litro, monto, referencia, observaciones y el saldo corriente después de cada movimiento.</w:t>
      </w:r>
    </w:p>
    <w:p>
      <w:pPr>
        <w:pStyle w:val="Heading2"/>
        <w:spacing w:after="120" w:before="360"/>
      </w:pPr>
      <w:r>
        <w:rPr>
          <w:rFonts w:ascii="Arial" w:cs="Arial" w:eastAsia="Arial" w:hAnsi="Arial"/>
          <w:b/>
          <w:bCs/>
          <w:color w:val="2563EB"/>
          <w:sz w:val="28"/>
          <w:szCs w:val="28"/>
        </w:rPr>
        <w:t xml:space="preserve">15.2 Registrar un movimiento</w:t>
      </w:r>
    </w:p>
    <w:p>
      <w:pPr>
        <w:pStyle w:val="ListParagraph"/>
        <w:numPr>
          <w:ilvl w:val="0"/>
          <w:numId w:val="22"/>
        </w:numPr>
        <w:spacing w:after="100" w:line="280"/>
      </w:pPr>
      <w:r>
        <w:rPr>
          <w:rFonts w:ascii="Arial" w:cs="Arial" w:eastAsia="Arial" w:hAnsi="Arial"/>
          <w:color w:val="1E293B"/>
          <w:sz w:val="22"/>
          <w:szCs w:val="22"/>
        </w:rPr>
        <w:t xml:space="preserve">Presiona "Registrar movimiento".</w:t>
      </w:r>
    </w:p>
    <w:p>
      <w:pPr>
        <w:pStyle w:val="ListParagraph"/>
        <w:numPr>
          <w:ilvl w:val="0"/>
          <w:numId w:val="22"/>
        </w:numPr>
        <w:spacing w:after="100" w:line="280"/>
      </w:pPr>
      <w:r>
        <w:rPr>
          <w:rFonts w:ascii="Arial" w:cs="Arial" w:eastAsia="Arial" w:hAnsi="Arial"/>
          <w:color w:val="1E293B"/>
          <w:sz w:val="22"/>
          <w:szCs w:val="22"/>
        </w:rPr>
        <w:t xml:space="preserve">Elige el tipo de combustible (Magna, Premium o Diésel).</w:t>
      </w:r>
    </w:p>
    <w:p>
      <w:pPr>
        <w:pStyle w:val="ListParagraph"/>
        <w:numPr>
          <w:ilvl w:val="0"/>
          <w:numId w:val="22"/>
        </w:numPr>
        <w:spacing w:after="100" w:line="280"/>
      </w:pPr>
      <w:r>
        <w:rPr>
          <w:rFonts w:ascii="Arial" w:cs="Arial" w:eastAsia="Arial" w:hAnsi="Arial"/>
          <w:color w:val="1E293B"/>
          <w:sz w:val="22"/>
          <w:szCs w:val="22"/>
        </w:rPr>
        <w:t xml:space="preserve">Elige el tipo de movimiento: Entrada (suma litros al tanque, permite capturar precio por litro y monto total, útil para registrar la compra de combustible), Salida (resta litros, por ejemplo al abastecer vehículos) o Ajuste (corrige el conteo físico; en este caso los litros pueden capturarse en positivo o negativo según se necesite aumentar o disminuir el saldo).</w:t>
      </w:r>
    </w:p>
    <w:p>
      <w:pPr>
        <w:pStyle w:val="ListParagraph"/>
        <w:numPr>
          <w:ilvl w:val="0"/>
          <w:numId w:val="22"/>
        </w:numPr>
        <w:spacing w:after="100" w:line="280"/>
      </w:pPr>
      <w:r>
        <w:rPr>
          <w:rFonts w:ascii="Arial" w:cs="Arial" w:eastAsia="Arial" w:hAnsi="Arial"/>
          <w:color w:val="1E293B"/>
          <w:sz w:val="22"/>
          <w:szCs w:val="22"/>
        </w:rPr>
        <w:t xml:space="preserve">Captura la Fecha y los Litros (obligatorios; no pueden ser cero).</w:t>
      </w:r>
    </w:p>
    <w:p>
      <w:pPr>
        <w:pStyle w:val="ListParagraph"/>
        <w:numPr>
          <w:ilvl w:val="0"/>
          <w:numId w:val="22"/>
        </w:numPr>
        <w:spacing w:after="100" w:line="280"/>
      </w:pPr>
      <w:r>
        <w:rPr>
          <w:rFonts w:ascii="Arial" w:cs="Arial" w:eastAsia="Arial" w:hAnsi="Arial"/>
          <w:color w:val="1E293B"/>
          <w:sz w:val="22"/>
          <w:szCs w:val="22"/>
        </w:rPr>
        <w:t xml:space="preserve">Agrega Referencia/Folio y Observaciones si lo necesitas.</w:t>
      </w:r>
    </w:p>
    <w:p>
      <w:pPr>
        <w:pStyle w:val="ListParagraph"/>
        <w:numPr>
          <w:ilvl w:val="0"/>
          <w:numId w:val="22"/>
        </w:numPr>
        <w:spacing w:after="100" w:line="280"/>
      </w:pPr>
      <w:r>
        <w:rPr>
          <w:rFonts w:ascii="Arial" w:cs="Arial" w:eastAsia="Arial" w:hAnsi="Arial"/>
          <w:color w:val="1E293B"/>
          <w:sz w:val="22"/>
          <w:szCs w:val="22"/>
        </w:rPr>
        <w:t xml:space="preserve">Presiona "Guardar movimiento".</w:t>
      </w:r>
    </w:p>
    <w:p>
      <w:pPr>
        <w:pBdr>
          <w:top w:val="single" w:color="2563EB" w:sz="4" w:space="6"/>
          <w:bottom w:val="single" w:color="2563EB" w:sz="4" w:space="6"/>
          <w:left w:val="single" w:color="2563EB" w:sz="4" w:space="6"/>
          <w:right w:val="single" w:color="2563EB" w:sz="4" w:space="6"/>
        </w:pBdr>
        <w:shd w:fill="DBEAFE" w:color="auto" w:val="clear"/>
        <w:spacing w:after="200" w:before="120"/>
        <w:ind w:left="60" w:right="60"/>
      </w:pPr>
      <w:r>
        <w:rPr>
          <w:rFonts w:ascii="Arial" w:cs="Arial" w:eastAsia="Arial" w:hAnsi="Arial"/>
          <w:b/>
          <w:bCs/>
          <w:i/>
          <w:iCs/>
          <w:color w:val="1E3A5F"/>
          <w:sz w:val="20"/>
          <w:szCs w:val="20"/>
        </w:rPr>
        <w:t xml:space="preserve">NOTA: </w:t>
      </w:r>
      <w:r>
        <w:rPr>
          <w:rFonts w:ascii="Arial" w:cs="Arial" w:eastAsia="Arial" w:hAnsi="Arial"/>
          <w:i/>
          <w:iCs/>
          <w:color w:val="1E3A5F"/>
          <w:sz w:val="20"/>
          <w:szCs w:val="20"/>
        </w:rPr>
        <w:t xml:space="preserve">El registro de movimientos de Combustible no pasa por un flujo de autorización: cualquier usuario con acceso a este submódulo puede capturar entradas, salidas y ajustes directamente.</w:t>
      </w:r>
    </w:p>
    <w:p>
      <w:r>
        <w:br w:type="page"/>
      </w:r>
    </w:p>
    <w:p>
      <w:pPr>
        <w:pStyle w:val="Heading1"/>
        <w:pBdr>
          <w:bottom w:val="single" w:color="2563EB" w:sz="4" w:space="4"/>
        </w:pBdr>
        <w:spacing w:after="240" w:before="480"/>
      </w:pPr>
      <w:r>
        <w:rPr>
          <w:rFonts w:ascii="Arial" w:cs="Arial" w:eastAsia="Arial" w:hAnsi="Arial"/>
          <w:b/>
          <w:bCs/>
          <w:color w:val="1E3A5F"/>
          <w:sz w:val="36"/>
          <w:szCs w:val="36"/>
        </w:rPr>
        <w:t xml:space="preserve">16. Preguntas Frecuentes y Solución de Problemas</w:t>
      </w:r>
    </w:p>
    <w:p>
      <w:pPr>
        <w:pStyle w:val="Heading2"/>
        <w:spacing w:after="120" w:before="360"/>
      </w:pPr>
      <w:r>
        <w:rPr>
          <w:rFonts w:ascii="Arial" w:cs="Arial" w:eastAsia="Arial" w:hAnsi="Arial"/>
          <w:b/>
          <w:bCs/>
          <w:color w:val="2563EB"/>
          <w:sz w:val="28"/>
          <w:szCs w:val="28"/>
        </w:rPr>
        <w:t xml:space="preserve">16.1 Folios y numeración</w:t>
      </w:r>
    </w:p>
    <w:p>
      <w:pPr>
        <w:spacing w:after="60" w:before="200"/>
      </w:pPr>
      <w:r>
        <w:rPr>
          <w:rFonts w:ascii="Arial" w:cs="Arial" w:eastAsia="Arial" w:hAnsi="Arial"/>
          <w:b/>
          <w:bCs/>
          <w:color w:val="1E3A5F"/>
          <w:sz w:val="22"/>
          <w:szCs w:val="22"/>
        </w:rPr>
        <w:t xml:space="preserve">¿Por qué no puedo capturar el folio de una Requisición, RFQ, OC, OP, Recepción, Transferencia, Proveedor o Artículo?</w:t>
      </w:r>
    </w:p>
    <w:p>
      <w:pPr>
        <w:spacing w:after="160" w:line="300"/>
      </w:pPr>
      <w:r>
        <w:rPr>
          <w:rFonts w:ascii="Arial" w:cs="Arial" w:eastAsia="Arial" w:hAnsi="Arial"/>
          <w:color w:val="1E293B"/>
          <w:sz w:val="22"/>
          <w:szCs w:val="22"/>
        </w:rPr>
        <w:t xml:space="preserve">Porque el sistema los genera automáticamente al guardar, con una numeración consecutiva propia por tipo de documento (por ejemplo REQ-2026-0001, OC-2026-0014). No es un campo editable.</w:t>
      </w:r>
    </w:p>
    <w:p>
      <w:pPr>
        <w:pStyle w:val="Heading2"/>
        <w:spacing w:after="120" w:before="360"/>
      </w:pPr>
      <w:r>
        <w:rPr>
          <w:rFonts w:ascii="Arial" w:cs="Arial" w:eastAsia="Arial" w:hAnsi="Arial"/>
          <w:b/>
          <w:bCs/>
          <w:color w:val="2563EB"/>
          <w:sz w:val="28"/>
          <w:szCs w:val="28"/>
        </w:rPr>
        <w:t xml:space="preserve">16.2 Mensajes de validación más comunes</w:t>
      </w:r>
    </w:p>
    <w:tbl>
      <w:tblPr>
        <w:tblW w:type="dxa" w:w="8400"/>
        <w:tblBorders>
          <w:top w:val="single" w:color="CBD5E1" w:sz="2"/>
          <w:left w:val="single" w:color="CBD5E1" w:sz="2"/>
          <w:bottom w:val="single" w:color="CBD5E1" w:sz="2"/>
          <w:right w:val="single" w:color="CBD5E1" w:sz="2"/>
          <w:insideH w:val="single" w:color="E2E8F0" w:sz="2"/>
          <w:insideV w:val="single" w:color="E2E8F0" w:sz="2"/>
        </w:tblBorders>
      </w:tblPr>
      <w:tblGrid>
        <w:gridCol w:w="2400"/>
        <w:gridCol w:w="3200"/>
        <w:gridCol w:w="2800"/>
      </w:tblGrid>
      <w:tr>
        <w:trPr>
          <w:cantSplit/>
          <w:tblHeader/>
        </w:trPr>
        <w:tc>
          <w:tcPr>
            <w:tcW w:type="dxa" w:w="2400"/>
            <w:shd w:fill="1E3A5F" w:color="auto" w:val="clear"/>
            <w:tcMar>
              <w:top w:type="dxa" w:w="60"/>
              <w:left w:type="dxa" w:w="100"/>
              <w:bottom w:type="dxa" w:w="60"/>
              <w:right w:type="dxa" w:w="100"/>
            </w:tcMar>
            <w:vAlign w:val="center"/>
          </w:tcPr>
          <w:p>
            <w:pPr>
              <w:spacing w:after="40" w:before="40"/>
            </w:pPr>
            <w:r>
              <w:rPr>
                <w:rFonts w:ascii="Arial" w:cs="Arial" w:eastAsia="Arial" w:hAnsi="Arial"/>
                <w:b/>
                <w:bCs/>
                <w:i w:val="false"/>
                <w:iCs w:val="false"/>
                <w:color w:val="FFFFFF"/>
                <w:sz w:val="19"/>
                <w:szCs w:val="19"/>
              </w:rPr>
              <w:t xml:space="preserve">Pantalla</w:t>
            </w:r>
          </w:p>
        </w:tc>
        <w:tc>
          <w:tcPr>
            <w:tcW w:type="dxa" w:w="3200"/>
            <w:shd w:fill="1E3A5F" w:color="auto" w:val="clear"/>
            <w:tcMar>
              <w:top w:type="dxa" w:w="60"/>
              <w:left w:type="dxa" w:w="100"/>
              <w:bottom w:type="dxa" w:w="60"/>
              <w:right w:type="dxa" w:w="100"/>
            </w:tcMar>
            <w:vAlign w:val="center"/>
          </w:tcPr>
          <w:p>
            <w:pPr>
              <w:spacing w:after="40" w:before="40"/>
            </w:pPr>
            <w:r>
              <w:rPr>
                <w:rFonts w:ascii="Arial" w:cs="Arial" w:eastAsia="Arial" w:hAnsi="Arial"/>
                <w:b/>
                <w:bCs/>
                <w:i w:val="false"/>
                <w:iCs w:val="false"/>
                <w:color w:val="FFFFFF"/>
                <w:sz w:val="19"/>
                <w:szCs w:val="19"/>
              </w:rPr>
              <w:t xml:space="preserve">Mensaje / condición</w:t>
            </w:r>
          </w:p>
        </w:tc>
        <w:tc>
          <w:tcPr>
            <w:tcW w:type="dxa" w:w="2800"/>
            <w:shd w:fill="1E3A5F" w:color="auto" w:val="clear"/>
            <w:tcMar>
              <w:top w:type="dxa" w:w="60"/>
              <w:left w:type="dxa" w:w="100"/>
              <w:bottom w:type="dxa" w:w="60"/>
              <w:right w:type="dxa" w:w="100"/>
            </w:tcMar>
            <w:vAlign w:val="center"/>
          </w:tcPr>
          <w:p>
            <w:pPr>
              <w:spacing w:after="40" w:before="40"/>
            </w:pPr>
            <w:r>
              <w:rPr>
                <w:rFonts w:ascii="Arial" w:cs="Arial" w:eastAsia="Arial" w:hAnsi="Arial"/>
                <w:b/>
                <w:bCs/>
                <w:i w:val="false"/>
                <w:iCs w:val="false"/>
                <w:color w:val="FFFFFF"/>
                <w:sz w:val="19"/>
                <w:szCs w:val="19"/>
              </w:rPr>
              <w:t xml:space="preserve">Cómo resolverlo</w:t>
            </w:r>
          </w:p>
        </w:tc>
      </w:tr>
      <w:tr>
        <w:trPr>
          <w:cantSplit/>
        </w:trPr>
        <w:tc>
          <w:tcPr>
            <w:tcW w:type="dxa" w:w="24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Requisiciones</w:t>
            </w:r>
          </w:p>
        </w:tc>
        <w:tc>
          <w:tcPr>
            <w:tcW w:type="dxa" w:w="32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"Centro de Costo es obligatorio" / "Área es obligatoria"</w:t>
            </w:r>
          </w:p>
        </w:tc>
        <w:tc>
          <w:tcPr>
            <w:tcW w:type="dxa" w:w="28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Elige primero el Centro de Costo; la lista de Áreas depende de esa elección.</w:t>
            </w:r>
          </w:p>
        </w:tc>
      </w:tr>
      <w:tr>
        <w:trPr>
          <w:cantSplit/>
        </w:trPr>
        <w:tc>
          <w:tcPr>
            <w:tcW w:type="dxa" w:w="24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Requisiciones</w:t>
            </w:r>
          </w:p>
        </w:tc>
        <w:tc>
          <w:tcPr>
            <w:tcW w:type="dxa" w:w="32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"Agrega al menos un producto"</w:t>
            </w:r>
          </w:p>
        </w:tc>
        <w:tc>
          <w:tcPr>
            <w:tcW w:type="dxa" w:w="28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Debes capturar al menos una línea con descripción y cantidad mayor a cero.</w:t>
            </w:r>
          </w:p>
        </w:tc>
      </w:tr>
      <w:tr>
        <w:trPr>
          <w:cantSplit/>
        </w:trPr>
        <w:tc>
          <w:tcPr>
            <w:tcW w:type="dxa" w:w="24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Cotizaciones</w:t>
            </w:r>
          </w:p>
        </w:tc>
        <w:tc>
          <w:tcPr>
            <w:tcW w:type="dxa" w:w="32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"Máximo 3 cotizaciones por RFQ"</w:t>
            </w:r>
          </w:p>
        </w:tc>
        <w:tc>
          <w:tcPr>
            <w:tcW w:type="dxa" w:w="28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El sistema no admite un cuarto proveedor en la misma RFQ; crea una RFQ nueva si necesitas comparar más opciones.</w:t>
            </w:r>
          </w:p>
        </w:tc>
      </w:tr>
      <w:tr>
        <w:trPr>
          <w:cantSplit/>
        </w:trPr>
        <w:tc>
          <w:tcPr>
            <w:tcW w:type="dxa" w:w="24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Cotizaciones</w:t>
            </w:r>
          </w:p>
        </w:tc>
        <w:tc>
          <w:tcPr>
            <w:tcW w:type="dxa" w:w="32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El botón "Confirmar y Cerrar RFQ" aparece deshabilitado</w:t>
            </w:r>
          </w:p>
        </w:tc>
        <w:tc>
          <w:tcPr>
            <w:tcW w:type="dxa" w:w="28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Faltan productos sin ganador asignado; el contador junto al botón indica cuántos faltan.</w:t>
            </w:r>
          </w:p>
        </w:tc>
      </w:tr>
      <w:tr>
        <w:trPr>
          <w:cantSplit/>
        </w:trPr>
        <w:tc>
          <w:tcPr>
            <w:tcW w:type="dxa" w:w="24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Órdenes de Compra</w:t>
            </w:r>
          </w:p>
        </w:tc>
        <w:tc>
          <w:tcPr>
            <w:tcW w:type="dxa" w:w="32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"Agrega al menos un producto con precio"</w:t>
            </w:r>
          </w:p>
        </w:tc>
        <w:tc>
          <w:tcPr>
            <w:tcW w:type="dxa" w:w="28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Cada línea debe tener un Precio Unitario mayor a cero; revisa si olvidaste capturarlo.</w:t>
            </w:r>
          </w:p>
        </w:tc>
      </w:tr>
      <w:tr>
        <w:trPr>
          <w:cantSplit/>
        </w:trPr>
        <w:tc>
          <w:tcPr>
            <w:tcW w:type="dxa" w:w="24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Recepciones</w:t>
            </w:r>
          </w:p>
        </w:tc>
        <w:tc>
          <w:tcPr>
            <w:tcW w:type="dxa" w:w="32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"Selecciona el tipo de recepción"</w:t>
            </w:r>
          </w:p>
        </w:tc>
        <w:tc>
          <w:tcPr>
            <w:tcW w:type="dxa" w:w="28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Debes elegir explícitamente Recepción Completa o Parcial antes de capturar cantidades.</w:t>
            </w:r>
          </w:p>
        </w:tc>
      </w:tr>
      <w:tr>
        <w:trPr>
          <w:cantSplit/>
        </w:trPr>
        <w:tc>
          <w:tcPr>
            <w:tcW w:type="dxa" w:w="24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Recepciones</w:t>
            </w:r>
          </w:p>
        </w:tc>
        <w:tc>
          <w:tcPr>
            <w:tcW w:type="dxa" w:w="32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"Indica si la OC quedará cerrada o pendiente"</w:t>
            </w:r>
          </w:p>
        </w:tc>
        <w:tc>
          <w:tcPr>
            <w:tcW w:type="dxa" w:w="28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Solo aplica a Recepción Parcial; es obligatorio decidir el destino de la OC antes de guardar.</w:t>
            </w:r>
          </w:p>
        </w:tc>
      </w:tr>
      <w:tr>
        <w:trPr>
          <w:cantSplit/>
        </w:trPr>
        <w:tc>
          <w:tcPr>
            <w:tcW w:type="dxa" w:w="24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Transferencias</w:t>
            </w:r>
          </w:p>
        </w:tc>
        <w:tc>
          <w:tcPr>
            <w:tcW w:type="dxa" w:w="32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"Origen y destino deben ser diferentes"</w:t>
            </w:r>
          </w:p>
        </w:tc>
        <w:tc>
          <w:tcPr>
            <w:tcW w:type="dxa" w:w="28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Elige dos almacenes distintos.</w:t>
            </w:r>
          </w:p>
        </w:tc>
      </w:tr>
      <w:tr>
        <w:trPr>
          <w:cantSplit/>
        </w:trPr>
        <w:tc>
          <w:tcPr>
            <w:tcW w:type="dxa" w:w="24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Transferencias</w:t>
            </w:r>
          </w:p>
        </w:tc>
        <w:tc>
          <w:tcPr>
            <w:tcW w:type="dxa" w:w="32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Aviso de "Saldo insuficiente" en un artículo</w:t>
            </w:r>
          </w:p>
        </w:tc>
        <w:tc>
          <w:tcPr>
            <w:tcW w:type="dxa" w:w="28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Es solo una advertencia; el sistema permite continuar aunque la cantidad solicitada supere el saldo disponible en el almacén origen.</w:t>
            </w:r>
          </w:p>
        </w:tc>
      </w:tr>
      <w:tr>
        <w:trPr>
          <w:cantSplit/>
        </w:trPr>
        <w:tc>
          <w:tcPr>
            <w:tcW w:type="dxa" w:w="24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Proveedores</w:t>
            </w:r>
          </w:p>
        </w:tc>
        <w:tc>
          <w:tcPr>
            <w:tcW w:type="dxa" w:w="32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"RFC duplicado: ya existe…"</w:t>
            </w:r>
          </w:p>
        </w:tc>
        <w:tc>
          <w:tcPr>
            <w:tcW w:type="dxa" w:w="28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El RFC ya está registrado en otro proveedor; usa el proveedor existente o corrige el RFC capturado.</w:t>
            </w:r>
          </w:p>
        </w:tc>
      </w:tr>
      <w:tr>
        <w:trPr>
          <w:cantSplit/>
        </w:trPr>
        <w:tc>
          <w:tcPr>
            <w:tcW w:type="dxa" w:w="24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Órdenes de Pago</w:t>
            </w:r>
          </w:p>
        </w:tc>
        <w:tc>
          <w:tcPr>
            <w:tcW w:type="dxa" w:w="32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"Selecciona al menos una OC" (vía Con OC)</w:t>
            </w:r>
          </w:p>
        </w:tc>
        <w:tc>
          <w:tcPr>
            <w:tcW w:type="dxa" w:w="28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Agrega al menos una Orden de Compra Autorizada antes de guardar.</w:t>
            </w:r>
          </w:p>
        </w:tc>
      </w:tr>
      <w:tr>
        <w:trPr>
          <w:cantSplit/>
        </w:trPr>
        <w:tc>
          <w:tcPr>
            <w:tcW w:type="dxa" w:w="24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Órdenes de Pago</w:t>
            </w:r>
          </w:p>
        </w:tc>
        <w:tc>
          <w:tcPr>
            <w:tcW w:type="dxa" w:w="32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"Área es obligatoria (o agrega líneas de distribución)" (vía Sin OC)</w:t>
            </w:r>
          </w:p>
        </w:tc>
        <w:tc>
          <w:tcPr>
            <w:tcW w:type="dxa" w:w="28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Elige un Área única, o bien usa "Distribución por Área" para repartir el monto entre varias.</w:t>
            </w:r>
          </w:p>
        </w:tc>
      </w:tr>
      <w:tr>
        <w:trPr>
          <w:cantSplit/>
        </w:trPr>
        <w:tc>
          <w:tcPr>
            <w:tcW w:type="dxa" w:w="24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Cuentas por Pagar</w:t>
            </w:r>
          </w:p>
        </w:tc>
        <w:tc>
          <w:tcPr>
            <w:tcW w:type="dxa" w:w="32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"El pago no puede exceder el saldo"</w:t>
            </w:r>
          </w:p>
        </w:tc>
        <w:tc>
          <w:tcPr>
            <w:tcW w:type="dxa" w:w="28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El monto capturado en el abono es mayor al saldo pendiente de esa Orden de Pago; ajústalo.</w:t>
            </w:r>
          </w:p>
        </w:tc>
      </w:tr>
      <w:tr>
        <w:trPr>
          <w:cantSplit/>
        </w:trPr>
        <w:tc>
          <w:tcPr>
            <w:tcW w:type="dxa" w:w="24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Caja Chica</w:t>
            </w:r>
          </w:p>
        </w:tc>
        <w:tc>
          <w:tcPr>
            <w:tcW w:type="dxa" w:w="32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"Todos los ítems deben tener concepto" / "montos mayores a 0"</w:t>
            </w:r>
          </w:p>
        </w:tc>
        <w:tc>
          <w:tcPr>
            <w:tcW w:type="dxa" w:w="2800"/>
            <w:shd w:fill="F2F2F2"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Revisa que cada línea de gasto tenga descripción y un monto capturado.</w:t>
            </w:r>
          </w:p>
        </w:tc>
      </w:tr>
      <w:tr>
        <w:trPr>
          <w:cantSplit/>
        </w:trPr>
        <w:tc>
          <w:tcPr>
            <w:tcW w:type="dxa" w:w="24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Combustible</w:t>
            </w:r>
          </w:p>
        </w:tc>
        <w:tc>
          <w:tcPr>
            <w:tcW w:type="dxa" w:w="32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"Los litros no pueden ser cero."</w:t>
            </w:r>
          </w:p>
        </w:tc>
        <w:tc>
          <w:tcPr>
            <w:tcW w:type="dxa" w:w="2800"/>
            <w:shd w:fill="FFFFFF" w:color="auto" w:val="clear"/>
            <w:tcMar>
              <w:top w:type="dxa" w:w="50"/>
              <w:left w:type="dxa" w:w="100"/>
              <w:bottom w:type="dxa" w:w="50"/>
              <w:right w:type="dxa" w:w="100"/>
            </w:tcMar>
            <w:vAlign w:val="center"/>
          </w:tcPr>
          <w:p>
            <w:pPr>
              <w:spacing w:after="40" w:before="40"/>
            </w:pPr>
            <w:r>
              <w:rPr>
                <w:rFonts w:ascii="Arial" w:cs="Arial" w:eastAsia="Arial" w:hAnsi="Arial"/>
                <w:b w:val="false"/>
                <w:bCs w:val="false"/>
                <w:i w:val="false"/>
                <w:iCs w:val="false"/>
                <w:color w:val="1E293B"/>
                <w:sz w:val="20"/>
                <w:szCs w:val="20"/>
              </w:rPr>
              <w:t xml:space="preserve">Captura una cantidad distinta de cero (positiva o negativa, según el tipo de movimiento).</w:t>
            </w:r>
          </w:p>
        </w:tc>
      </w:tr>
    </w:tbl>
    <w:p>
      <w:pPr>
        <w:pStyle w:val="Heading2"/>
        <w:spacing w:after="120" w:before="360"/>
      </w:pPr>
      <w:r>
        <w:rPr>
          <w:rFonts w:ascii="Arial" w:cs="Arial" w:eastAsia="Arial" w:hAnsi="Arial"/>
          <w:b/>
          <w:bCs/>
          <w:color w:val="2563EB"/>
          <w:sz w:val="28"/>
          <w:szCs w:val="28"/>
        </w:rPr>
        <w:t xml:space="preserve">16.3 El inventario no se actualizó después de una recepción</w:t>
      </w:r>
    </w:p>
    <w:p>
      <w:pPr>
        <w:spacing w:after="160" w:line="300"/>
      </w:pPr>
      <w:r>
        <w:rPr>
          <w:rFonts w:ascii="Arial" w:cs="Arial" w:eastAsia="Arial" w:hAnsi="Arial"/>
          <w:color w:val="1E293B"/>
          <w:sz w:val="22"/>
          <w:szCs w:val="22"/>
        </w:rPr>
        <w:t xml:space="preserve">Verifica primero que el producto de esa partida de la Orden de Compra esté vinculado a un artículo del catálogo (y no solo capturado como texto libre). Las Órdenes de Compra generadas antes de que este vínculo se corrigiera en el sistema (mediados de 2026) pueden tener partidas sin esa liga; en ese caso, registra el ajuste manualmente desde Compras → Inventario → Agregar Movimiento (disponible solo para Superadmin y Administrador).</w:t>
      </w:r>
    </w:p>
    <w:p>
      <w:pPr>
        <w:pStyle w:val="Heading2"/>
        <w:spacing w:after="120" w:before="360"/>
      </w:pPr>
      <w:r>
        <w:rPr>
          <w:rFonts w:ascii="Arial" w:cs="Arial" w:eastAsia="Arial" w:hAnsi="Arial"/>
          <w:b/>
          <w:bCs/>
          <w:color w:val="2563EB"/>
          <w:sz w:val="28"/>
          <w:szCs w:val="28"/>
        </w:rPr>
        <w:t xml:space="preserve">16.4 No encuentro la pantalla de Cuentas por Pagar</w:t>
      </w:r>
    </w:p>
    <w:p>
      <w:pPr>
        <w:spacing w:after="160" w:line="300"/>
      </w:pPr>
      <w:r>
        <w:rPr>
          <w:rFonts w:ascii="Arial" w:cs="Arial" w:eastAsia="Arial" w:hAnsi="Arial"/>
          <w:color w:val="1E293B"/>
          <w:sz w:val="22"/>
          <w:szCs w:val="22"/>
        </w:rPr>
        <w:t xml:space="preserve">Actualmente no existe una tarjeta directa en la portada de Compras para Cuentas por Pagar. Se accede escribiendo la dirección /compras/cxp en el navegador; cualquier rol con acceso general a Compras puede entrar por esa vía.</w:t>
      </w:r>
    </w:p>
    <w:p>
      <w:pPr>
        <w:pStyle w:val="Heading2"/>
        <w:spacing w:after="120" w:before="360"/>
      </w:pPr>
      <w:r>
        <w:rPr>
          <w:rFonts w:ascii="Arial" w:cs="Arial" w:eastAsia="Arial" w:hAnsi="Arial"/>
          <w:b/>
          <w:bCs/>
          <w:color w:val="2563EB"/>
          <w:sz w:val="28"/>
          <w:szCs w:val="28"/>
        </w:rPr>
        <w:t xml:space="preserve">16.5 No veo el botón para crear/editar en un submódulo que sí puedo abrir</w:t>
      </w:r>
    </w:p>
    <w:p>
      <w:pPr>
        <w:spacing w:after="160" w:line="300"/>
      </w:pPr>
      <w:r>
        <w:rPr>
          <w:rFonts w:ascii="Arial" w:cs="Arial" w:eastAsia="Arial" w:hAnsi="Arial"/>
          <w:color w:val="1E293B"/>
          <w:sz w:val="22"/>
          <w:szCs w:val="22"/>
        </w:rPr>
        <w:t xml:space="preserve">Es normal: el permiso de VER un submódulo y el permiso de ESCRIBIR en él son independientes (capítulo 2.1). Por ejemplo, el rol Compras puede abrir Transferencias, Almacenes o Áreas Solicitantes para consultarlas, pero no ve ahí los botones de captura. Si necesitas escribir en un submódulo donde solo tienes lectura, solicita el ajuste de rol a tu administrador.</w:t>
      </w:r>
    </w:p>
    <w:p>
      <w:pPr>
        <w:pStyle w:val="Heading2"/>
        <w:spacing w:after="120" w:before="360"/>
      </w:pPr>
      <w:r>
        <w:rPr>
          <w:rFonts w:ascii="Arial" w:cs="Arial" w:eastAsia="Arial" w:hAnsi="Arial"/>
          <w:b/>
          <w:bCs/>
          <w:color w:val="2563EB"/>
          <w:sz w:val="28"/>
          <w:szCs w:val="28"/>
        </w:rPr>
        <w:t xml:space="preserve">16.6 No puedo elegir cierto Tipo de Gasto en una Orden de Pago</w:t>
      </w:r>
    </w:p>
    <w:p>
      <w:pPr>
        <w:spacing w:after="160" w:line="300"/>
      </w:pPr>
      <w:r>
        <w:rPr>
          <w:rFonts w:ascii="Arial" w:cs="Arial" w:eastAsia="Arial" w:hAnsi="Arial"/>
          <w:color w:val="1E293B"/>
          <w:sz w:val="22"/>
          <w:szCs w:val="22"/>
        </w:rPr>
        <w:t xml:space="preserve">Tu rol puede tener una restricción configurada de Tipos de Gasto permitidos o excluidos (capítulo 2.4). Consulta con tu administrador si necesitas capturar un Tipo de Gasto que no aparece en tu lista.</w:t>
      </w:r>
    </w:p>
    <w:p>
      <w:pPr>
        <w:pStyle w:val="Heading2"/>
        <w:spacing w:after="120" w:before="360"/>
      </w:pPr>
      <w:r>
        <w:rPr>
          <w:rFonts w:ascii="Arial" w:cs="Arial" w:eastAsia="Arial" w:hAnsi="Arial"/>
          <w:b/>
          <w:bCs/>
          <w:color w:val="2563EB"/>
          <w:sz w:val="28"/>
          <w:szCs w:val="28"/>
        </w:rPr>
        <w:t xml:space="preserve">16.7 Diferencia entre "Enviada al Prov" y "Autorizada" en una Orden de Compra</w:t>
      </w:r>
    </w:p>
    <w:p>
      <w:pPr>
        <w:spacing w:after="160" w:line="300"/>
      </w:pPr>
      <w:r>
        <w:rPr>
          <w:rFonts w:ascii="Arial" w:cs="Arial" w:eastAsia="Arial" w:hAnsi="Arial"/>
          <w:color w:val="1E293B"/>
          <w:sz w:val="22"/>
          <w:szCs w:val="22"/>
        </w:rPr>
        <w:t xml:space="preserve">Una OC pasa a "Enviada al Prov" automáticamente en cuanto se le genera al menos una Orden de Pago; no es un estatus que se elija manualmente. Antes de eso, mientras solo está "Autorizada", ya puede recibir mercancía normalmente.</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Arial" w:cs="Arial" w:eastAsia="Arial" w:hAnsi="Arial"/>
        <w:color w:val="475569"/>
        <w:sz w:val="16"/>
        <w:szCs w:val="16"/>
      </w:rPr>
      <w:t xml:space="preserve">DOMUSONE — Manual de Usuario · Módulo de Compras</w:t>
    </w:r>
    <w:r>
      <w:rPr>
        <w:rFonts w:ascii="Arial" w:cs="Arial" w:eastAsia="Arial" w:hAnsi="Arial"/>
        <w:sz w:val="16"/>
        <w:szCs w:val="16"/>
      </w:rPr>
      <w:t xml:space="preserve">		</w:t>
    </w:r>
    <w:r>
      <w:rPr>
        <w:rFonts w:ascii="Arial" w:cs="Arial" w:eastAsia="Arial" w:hAnsi="Arial"/>
        <w:color w:val="475569"/>
        <w:sz w:val="16"/>
        <w:szCs w:val="16"/>
      </w:rPr>
      <w:t xml:space="preserve">Página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de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75569"/>
        <w:sz w:val="16"/>
        <w:szCs w:val="16"/>
      </w:rPr>
      <w:t xml:space="preserve">DOMUSONE · Compras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460" w:hanging="300"/>
      </w:pPr>
    </w:lvl>
  </w:abstractNum>
  <w:abstractNum w:abstractNumId="8" w15:restartNumberingAfterBreak="0">
    <w:multiLevelType w:val="hybridMultilevel"/>
    <w:lvl w:ilvl="0" w15:tentative="1">
      <w:start w:val="1"/>
      <w:numFmt w:val="decimal"/>
      <w:lvlText w:val="%1."/>
      <w:lvlJc w:val="left"/>
      <w:pPr>
        <w:ind w:left="460" w:hanging="300"/>
      </w:pPr>
    </w:lvl>
  </w:abstractNum>
  <w:abstractNum w:abstractNumId="9" w15:restartNumberingAfterBreak="0">
    <w:multiLevelType w:val="hybridMultilevel"/>
    <w:lvl w:ilvl="0" w15:tentative="1">
      <w:start w:val="1"/>
      <w:numFmt w:val="decimal"/>
      <w:lvlText w:val="%1."/>
      <w:lvlJc w:val="left"/>
      <w:pPr>
        <w:ind w:left="460" w:hanging="300"/>
      </w:pPr>
    </w:lvl>
  </w:abstractNum>
  <w:abstractNum w:abstractNumId="10" w15:restartNumberingAfterBreak="0">
    <w:multiLevelType w:val="hybridMultilevel"/>
    <w:lvl w:ilvl="0" w15:tentative="1">
      <w:start w:val="1"/>
      <w:numFmt w:val="decimal"/>
      <w:lvlText w:val="%1."/>
      <w:lvlJc w:val="left"/>
      <w:pPr>
        <w:ind w:left="460" w:hanging="300"/>
      </w:pPr>
    </w:lvl>
  </w:abstractNum>
  <w:abstractNum w:abstractNumId="11" w15:restartNumberingAfterBreak="0">
    <w:multiLevelType w:val="hybridMultilevel"/>
    <w:lvl w:ilvl="0" w15:tentative="1">
      <w:start w:val="1"/>
      <w:numFmt w:val="decimal"/>
      <w:lvlText w:val="%1."/>
      <w:lvlJc w:val="left"/>
      <w:pPr>
        <w:ind w:left="460" w:hanging="300"/>
      </w:pPr>
    </w:lvl>
  </w:abstractNum>
  <w:abstractNum w:abstractNumId="12" w15:restartNumberingAfterBreak="0">
    <w:multiLevelType w:val="hybridMultilevel"/>
    <w:lvl w:ilvl="0" w15:tentative="1">
      <w:start w:val="1"/>
      <w:numFmt w:val="decimal"/>
      <w:lvlText w:val="%1."/>
      <w:lvlJc w:val="left"/>
      <w:pPr>
        <w:ind w:left="460" w:hanging="300"/>
      </w:pPr>
    </w:lvl>
  </w:abstractNum>
  <w:abstractNum w:abstractNumId="13" w15:restartNumberingAfterBreak="0">
    <w:multiLevelType w:val="hybridMultilevel"/>
    <w:lvl w:ilvl="0" w15:tentative="1">
      <w:start w:val="1"/>
      <w:numFmt w:val="decimal"/>
      <w:lvlText w:val="%1."/>
      <w:lvlJc w:val="left"/>
      <w:pPr>
        <w:ind w:left="460" w:hanging="300"/>
      </w:pPr>
    </w:lvl>
  </w:abstractNum>
  <w:abstractNum w:abstractNumId="14" w15:restartNumberingAfterBreak="0">
    <w:multiLevelType w:val="hybridMultilevel"/>
    <w:lvl w:ilvl="0" w15:tentative="1">
      <w:start w:val="1"/>
      <w:numFmt w:val="decimal"/>
      <w:lvlText w:val="%1."/>
      <w:lvlJc w:val="left"/>
      <w:pPr>
        <w:ind w:left="460" w:hanging="300"/>
      </w:pPr>
    </w:lvl>
  </w:abstractNum>
  <w:abstractNum w:abstractNumId="15" w15:restartNumberingAfterBreak="0">
    <w:multiLevelType w:val="hybridMultilevel"/>
    <w:lvl w:ilvl="0" w15:tentative="1">
      <w:start w:val="1"/>
      <w:numFmt w:val="decimal"/>
      <w:lvlText w:val="%1."/>
      <w:lvlJc w:val="left"/>
      <w:pPr>
        <w:ind w:left="460" w:hanging="300"/>
      </w:pPr>
    </w:lvl>
  </w:abstractNum>
  <w:abstractNum w:abstractNumId="16" w15:restartNumberingAfterBreak="0">
    <w:multiLevelType w:val="hybridMultilevel"/>
    <w:lvl w:ilvl="0" w15:tentative="1">
      <w:start w:val="1"/>
      <w:numFmt w:val="decimal"/>
      <w:lvlText w:val="%1."/>
      <w:lvlJc w:val="left"/>
      <w:pPr>
        <w:ind w:left="460" w:hanging="300"/>
      </w:pPr>
    </w:lvl>
  </w:abstractNum>
  <w:abstractNum w:abstractNumId="17" w15:restartNumberingAfterBreak="0">
    <w:multiLevelType w:val="hybridMultilevel"/>
    <w:lvl w:ilvl="0" w15:tentative="1">
      <w:start w:val="1"/>
      <w:numFmt w:val="decimal"/>
      <w:lvlText w:val="%1."/>
      <w:lvlJc w:val="left"/>
      <w:pPr>
        <w:ind w:left="460" w:hanging="300"/>
      </w:pPr>
    </w:lvl>
  </w:abstractNum>
  <w:abstractNum w:abstractNumId="18" w15:restartNumberingAfterBreak="0">
    <w:multiLevelType w:val="hybridMultilevel"/>
    <w:lvl w:ilvl="0" w15:tentative="1">
      <w:start w:val="1"/>
      <w:numFmt w:val="decimal"/>
      <w:lvlText w:val="%1."/>
      <w:lvlJc w:val="left"/>
      <w:pPr>
        <w:ind w:left="460" w:hanging="300"/>
      </w:pPr>
    </w:lvl>
  </w:abstractNum>
  <w:abstractNum w:abstractNumId="19" w15:restartNumberingAfterBreak="0">
    <w:multiLevelType w:val="hybridMultilevel"/>
    <w:lvl w:ilvl="0" w15:tentative="1">
      <w:start w:val="1"/>
      <w:numFmt w:val="decimal"/>
      <w:lvlText w:val="%1."/>
      <w:lvlJc w:val="left"/>
      <w:pPr>
        <w:ind w:left="460" w:hanging="300"/>
      </w:pPr>
    </w:lvl>
  </w:abstractNum>
  <w:abstractNum w:abstractNumId="20" w15:restartNumberingAfterBreak="0">
    <w:multiLevelType w:val="hybridMultilevel"/>
    <w:lvl w:ilvl="0" w15:tentative="1">
      <w:start w:val="1"/>
      <w:numFmt w:val="decimal"/>
      <w:lvlText w:val="%1."/>
      <w:lvlJc w:val="left"/>
      <w:pPr>
        <w:ind w:left="460" w:hanging="300"/>
      </w:pPr>
    </w:lvl>
  </w:abstractNum>
  <w:abstractNum w:abstractNumId="21" w15:restartNumberingAfterBreak="0">
    <w:multiLevelType w:val="hybridMultilevel"/>
    <w:lvl w:ilvl="0" w15:tentative="1">
      <w:start w:val="1"/>
      <w:numFmt w:val="decimal"/>
      <w:lvlText w:val="%1."/>
      <w:lvlJc w:val="left"/>
      <w:pPr>
        <w:ind w:left="460" w:hanging="300"/>
      </w:pPr>
    </w:lvl>
  </w:abstractNum>
  <w:abstractNum w:abstractNumId="22" w15:restartNumberingAfterBreak="0">
    <w:multiLevelType w:val="hybridMultilevel"/>
    <w:lvl w:ilvl="0" w15:tentative="1">
      <w:start w:val="1"/>
      <w:numFmt w:val="decimal"/>
      <w:lvlText w:val="%1."/>
      <w:lvlJc w:val="left"/>
      <w:pPr>
        <w:ind w:left="460" w:hanging="300"/>
      </w:pPr>
    </w:lvl>
  </w:abstractNum>
  <w:abstractNum w:abstractNumId="23" w15:restartNumberingAfterBreak="0">
    <w:multiLevelType w:val="hybridMultilevel"/>
    <w:lvl w:ilvl="0" w15:tentative="1">
      <w:start w:val="1"/>
      <w:numFmt w:val="decimal"/>
      <w:lvlText w:val="%1."/>
      <w:lvlJc w:val="left"/>
      <w:pPr>
        <w:ind w:left="460" w:hanging="300"/>
      </w:pPr>
    </w:lvl>
  </w:abstractNum>
  <w:abstractNum w:abstractNumId="24" w15:restartNumberingAfterBreak="0">
    <w:multiLevelType w:val="hybridMultilevel"/>
    <w:lvl w:ilvl="0" w15:tentative="1">
      <w:start w:val="1"/>
      <w:numFmt w:val="decimal"/>
      <w:lvlText w:val="%1."/>
      <w:lvlJc w:val="left"/>
      <w:pPr>
        <w:ind w:left="460" w:hanging="300"/>
      </w:pPr>
    </w:lvl>
  </w:abstractNum>
  <w:abstractNum w:abstractNumId="25" w15:restartNumberingAfterBreak="0">
    <w:multiLevelType w:val="hybridMultilevel"/>
    <w:lvl w:ilvl="0" w15:tentative="1">
      <w:start w:val="1"/>
      <w:numFmt w:val="decimal"/>
      <w:lvlText w:val="%1."/>
      <w:lvlJc w:val="left"/>
      <w:pPr>
        <w:ind w:left="460" w:hanging="300"/>
      </w:pPr>
    </w:lvl>
  </w:abstractNum>
  <w:abstractNum w:abstractNumId="26" w15:restartNumberingAfterBreak="0">
    <w:multiLevelType w:val="hybridMultilevel"/>
    <w:lvl w:ilvl="0" w15:tentative="1">
      <w:start w:val="1"/>
      <w:numFmt w:val="decimal"/>
      <w:lvlText w:val="%1."/>
      <w:lvlJc w:val="left"/>
      <w:pPr>
        <w:ind w:left="460" w:hanging="300"/>
      </w:pPr>
    </w:lvl>
  </w:abstractNum>
  <w:abstractNum w:abstractNumId="27" w15:restartNumberingAfterBreak="0">
    <w:multiLevelType w:val="hybridMultilevel"/>
    <w:lvl w:ilvl="0" w15:tentative="1">
      <w:start w:val="1"/>
      <w:numFmt w:val="decimal"/>
      <w:lvlText w:val="%1."/>
      <w:lvlJc w:val="left"/>
      <w:pPr>
        <w:ind w:left="460" w:hanging="300"/>
      </w:pPr>
    </w:lvl>
  </w:abstractNum>
  <w:abstractNum w:abstractNumId="28" w15:restartNumberingAfterBreak="0">
    <w:multiLevelType w:val="hybridMultilevel"/>
    <w:lvl w:ilvl="0" w15:tentative="1">
      <w:start w:val="1"/>
      <w:numFmt w:val="decimal"/>
      <w:lvlText w:val="%1."/>
      <w:lvlJc w:val="left"/>
      <w:pPr>
        <w:ind w:left="460" w:hanging="300"/>
      </w:pPr>
    </w:lvl>
  </w:abstractNum>
  <w:abstractNum w:abstractNumId="29" w15:restartNumberingAfterBreak="0">
    <w:multiLevelType w:val="hybridMultilevel"/>
    <w:lvl w:ilvl="0" w15:tentative="1">
      <w:start w:val="1"/>
      <w:numFmt w:val="decimal"/>
      <w:lvlText w:val="%1."/>
      <w:lvlJc w:val="left"/>
      <w:pPr>
        <w:ind w:left="460" w:hanging="300"/>
      </w:pPr>
    </w:lvl>
  </w:abstractNum>
  <w:abstractNum w:abstractNumId="30" w15:restartNumberingAfterBreak="0">
    <w:multiLevelType w:val="hybridMultilevel"/>
    <w:lvl w:ilvl="0" w15:tentative="1">
      <w:start w:val="1"/>
      <w:numFmt w:val="decimal"/>
      <w:lvlText w:val="%1."/>
      <w:lvlJc w:val="left"/>
      <w:pPr>
        <w:ind w:left="460" w:hanging="300"/>
      </w:pPr>
    </w:lvl>
  </w:abstractNum>
  <w:abstractNum w:abstractNumId="31" w15:restartNumberingAfterBreak="0">
    <w:multiLevelType w:val="hybridMultilevel"/>
    <w:lvl w:ilvl="0" w15:tentative="1">
      <w:start w:val="1"/>
      <w:numFmt w:val="decimal"/>
      <w:lvlText w:val="%1."/>
      <w:lvlJc w:val="left"/>
      <w:pPr>
        <w:ind w:left="460" w:hanging="300"/>
      </w:pPr>
    </w:lvl>
  </w:abstractNum>
  <w:abstractNum w:abstractNumId="32" w15:restartNumberingAfterBreak="0">
    <w:multiLevelType w:val="hybridMultilevel"/>
    <w:lvl w:ilvl="0" w15:tentative="1">
      <w:start w:val="1"/>
      <w:numFmt w:val="decimal"/>
      <w:lvlText w:val="%1."/>
      <w:lvlJc w:val="left"/>
      <w:pPr>
        <w:ind w:left="460" w:hanging="300"/>
      </w:pPr>
    </w:lvl>
  </w:abstractNum>
  <w:abstractNum w:abstractNumId="33" w15:restartNumberingAfterBreak="0">
    <w:multiLevelType w:val="hybridMultilevel"/>
    <w:lvl w:ilvl="0" w15:tentative="1">
      <w:start w:val="1"/>
      <w:numFmt w:val="decimal"/>
      <w:lvlText w:val="%1."/>
      <w:lvlJc w:val="left"/>
      <w:pPr>
        <w:ind w:left="460" w:hanging="300"/>
      </w:pPr>
    </w:lvl>
  </w:abstractNum>
  <w:abstractNum w:abstractNumId="34" w15:restartNumberingAfterBreak="0">
    <w:multiLevelType w:val="hybridMultilevel"/>
    <w:lvl w:ilvl="0" w15:tentative="1">
      <w:start w:val="1"/>
      <w:numFmt w:val="decimal"/>
      <w:lvlText w:val="%1."/>
      <w:lvlJc w:val="left"/>
      <w:pPr>
        <w:ind w:left="460" w:hanging="300"/>
      </w:pPr>
    </w:lvl>
  </w:abstractNum>
  <w:abstractNum w:abstractNumId="35" w15:restartNumberingAfterBreak="0">
    <w:multiLevelType w:val="hybridMultilevel"/>
    <w:lvl w:ilvl="0" w15:tentative="1">
      <w:start w:val="1"/>
      <w:numFmt w:val="decimal"/>
      <w:lvlText w:val="%1."/>
      <w:lvlJc w:val="left"/>
      <w:pPr>
        <w:ind w:left="460" w:hanging="300"/>
      </w:pPr>
    </w:lvl>
  </w:abstractNum>
  <w:abstractNum w:abstractNumId="36" w15:restartNumberingAfterBreak="0">
    <w:multiLevelType w:val="hybridMultilevel"/>
    <w:lvl w:ilvl="0" w15:tentative="1">
      <w:start w:val="1"/>
      <w:numFmt w:val="decimal"/>
      <w:lvlText w:val="%1."/>
      <w:lvlJc w:val="left"/>
      <w:pPr>
        <w:ind w:left="460" w:hanging="300"/>
      </w:pPr>
    </w:lvl>
  </w:abstractNum>
  <w:abstractNum w:abstractNumId="37" w15:restartNumberingAfterBreak="0">
    <w:multiLevelType w:val="hybridMultilevel"/>
    <w:lvl w:ilvl="0" w15:tentative="1">
      <w:start w:val="1"/>
      <w:numFmt w:val="decimal"/>
      <w:lvlText w:val="%1."/>
      <w:lvlJc w:val="left"/>
      <w:pPr>
        <w:ind w:left="460" w:hanging="300"/>
      </w:pPr>
    </w:lvl>
  </w:abstractNum>
  <w:abstractNum w:abstractNumId="38" w15:restartNumberingAfterBreak="0">
    <w:multiLevelType w:val="hybridMultilevel"/>
    <w:lvl w:ilvl="0" w15:tentative="1">
      <w:start w:val="1"/>
      <w:numFmt w:val="decimal"/>
      <w:lvlText w:val="%1."/>
      <w:lvlJc w:val="left"/>
      <w:pPr>
        <w:ind w:left="460" w:hanging="300"/>
      </w:pPr>
    </w:lvl>
  </w:abstractNum>
  <w:abstractNum w:abstractNumId="39" w15:restartNumberingAfterBreak="0">
    <w:multiLevelType w:val="hybridMultilevel"/>
    <w:lvl w:ilvl="0" w15:tentative="1">
      <w:start w:val="1"/>
      <w:numFmt w:val="decimal"/>
      <w:lvlText w:val="%1."/>
      <w:lvlJc w:val="left"/>
      <w:pPr>
        <w:ind w:left="460" w:hanging="300"/>
      </w:pPr>
    </w:lvl>
  </w:abstractNum>
  <w:abstractNum w:abstractNumId="40" w15:restartNumberingAfterBreak="0">
    <w:multiLevelType w:val="hybridMultilevel"/>
    <w:lvl w:ilvl="0" w15:tentative="1">
      <w:start w:val="1"/>
      <w:numFmt w:val="decimal"/>
      <w:lvlText w:val="%1."/>
      <w:lvlJc w:val="left"/>
      <w:pPr>
        <w:ind w:left="460" w:hanging="300"/>
      </w:pPr>
    </w:lvl>
  </w:abstractNum>
  <w:abstractNum w:abstractNumId="41" w15:restartNumberingAfterBreak="0">
    <w:multiLevelType w:val="hybridMultilevel"/>
    <w:lvl w:ilvl="0" w15:tentative="1">
      <w:start w:val="1"/>
      <w:numFmt w:val="decimal"/>
      <w:lvlText w:val="%1."/>
      <w:lvlJc w:val="left"/>
      <w:pPr>
        <w:ind w:left="460" w:hanging="300"/>
      </w:pPr>
    </w:lvl>
  </w:abstractNum>
  <w:abstractNum w:abstractNumId="42" w15:restartNumberingAfterBreak="0">
    <w:multiLevelType w:val="hybridMultilevel"/>
    <w:lvl w:ilvl="0" w15:tentative="1">
      <w:start w:val="1"/>
      <w:numFmt w:val="decimal"/>
      <w:lvlText w:val="%1."/>
      <w:lvlJc w:val="left"/>
      <w:pPr>
        <w:ind w:left="460" w:hanging="300"/>
      </w:pPr>
    </w:lvl>
  </w:abstractNum>
  <w:abstractNum w:abstractNumId="43" w15:restartNumberingAfterBreak="0">
    <w:multiLevelType w:val="hybridMultilevel"/>
    <w:lvl w:ilvl="0" w15:tentative="1">
      <w:start w:val="1"/>
      <w:numFmt w:val="decimal"/>
      <w:lvlText w:val="%1."/>
      <w:lvlJc w:val="left"/>
      <w:pPr>
        <w:ind w:left="460" w:hanging="300"/>
      </w:pPr>
    </w:lvl>
  </w:abstractNum>
  <w:abstractNum w:abstractNumId="44" w15:restartNumberingAfterBreak="0">
    <w:multiLevelType w:val="hybridMultilevel"/>
    <w:lvl w:ilvl="0" w15:tentative="1">
      <w:start w:val="1"/>
      <w:numFmt w:val="decimal"/>
      <w:lvlText w:val="%1."/>
      <w:lvlJc w:val="left"/>
      <w:pPr>
        <w:ind w:left="460" w:hanging="300"/>
      </w:pPr>
    </w:lvl>
  </w:abstractNum>
  <w:abstractNum w:abstractNumId="45" w15:restartNumberingAfterBreak="0">
    <w:multiLevelType w:val="hybridMultilevel"/>
    <w:lvl w:ilvl="0" w15:tentative="1">
      <w:start w:val="1"/>
      <w:numFmt w:val="decimal"/>
      <w:lvlText w:val="%1."/>
      <w:lvlJc w:val="left"/>
      <w:pPr>
        <w:ind w:left="460" w:hanging="300"/>
      </w:pPr>
    </w:lvl>
  </w:abstractNum>
  <w:abstractNum w:abstractNumId="46" w15:restartNumberingAfterBreak="0">
    <w:multiLevelType w:val="hybridMultilevel"/>
    <w:lvl w:ilvl="0" w15:tentative="1">
      <w:start w:val="1"/>
      <w:numFmt w:val="decimal"/>
      <w:lvlText w:val="%1."/>
      <w:lvlJc w:val="left"/>
      <w:pPr>
        <w:ind w:left="460" w:hanging="300"/>
      </w:pPr>
    </w:lvl>
  </w:abstractNum>
  <w:abstractNum w:abstractNumId="47" w15:restartNumberingAfterBreak="0">
    <w:multiLevelType w:val="hybridMultilevel"/>
    <w:lvl w:ilvl="0" w15:tentative="1">
      <w:start w:val="1"/>
      <w:numFmt w:val="decimal"/>
      <w:lvlText w:val="%1."/>
      <w:lvlJc w:val="left"/>
      <w:pPr>
        <w:ind w:left="460" w:hanging="300"/>
      </w:pPr>
    </w:lvl>
  </w:abstractNum>
  <w:abstractNum w:abstractNumId="48" w15:restartNumberingAfterBreak="0">
    <w:multiLevelType w:val="hybridMultilevel"/>
    <w:lvl w:ilvl="0" w15:tentative="1">
      <w:start w:val="1"/>
      <w:numFmt w:val="decimal"/>
      <w:lvlText w:val="%1."/>
      <w:lvlJc w:val="left"/>
      <w:pPr>
        <w:ind w:left="460" w:hanging="300"/>
      </w:pPr>
    </w:lvl>
  </w:abstractNum>
  <w:abstractNum w:abstractNumId="49" w15:restartNumberingAfterBreak="0">
    <w:multiLevelType w:val="hybridMultilevel"/>
    <w:lvl w:ilvl="0" w15:tentative="1">
      <w:start w:val="1"/>
      <w:numFmt w:val="decimal"/>
      <w:lvlText w:val="%1."/>
      <w:lvlJc w:val="left"/>
      <w:pPr>
        <w:ind w:left="460" w:hanging="300"/>
      </w:pPr>
    </w:lvl>
  </w:abstractNum>
  <w:abstractNum w:abstractNumId="50" w15:restartNumberingAfterBreak="0">
    <w:multiLevelType w:val="hybridMultilevel"/>
    <w:lvl w:ilvl="0" w15:tentative="1">
      <w:start w:val="1"/>
      <w:numFmt w:val="decimal"/>
      <w:lvlText w:val="%1."/>
      <w:lvlJc w:val="left"/>
      <w:pPr>
        <w:ind w:left="460" w:hanging="300"/>
      </w:pPr>
    </w:lvl>
  </w:abstractNum>
  <w:abstractNum w:abstractNumId="51" w15:restartNumberingAfterBreak="0">
    <w:multiLevelType w:val="hybridMultilevel"/>
    <w:lvl w:ilvl="0" w15:tentative="1">
      <w:start w:val="1"/>
      <w:numFmt w:val="decimal"/>
      <w:lvlText w:val="%1."/>
      <w:lvlJc w:val="left"/>
      <w:pPr>
        <w:ind w:left="460" w:hanging="300"/>
      </w:pPr>
    </w:lvl>
  </w:abstractNum>
  <w:abstractNum w:abstractNumId="52" w15:restartNumberingAfterBreak="0">
    <w:multiLevelType w:val="hybridMultilevel"/>
    <w:lvl w:ilvl="0" w15:tentative="1">
      <w:start w:val="1"/>
      <w:numFmt w:val="decimal"/>
      <w:lvlText w:val="%1."/>
      <w:lvlJc w:val="left"/>
      <w:pPr>
        <w:ind w:left="460" w:hanging="300"/>
      </w:pPr>
    </w:lvl>
  </w:abstractNum>
  <w:abstractNum w:abstractNumId="53" w15:restartNumberingAfterBreak="0">
    <w:multiLevelType w:val="hybridMultilevel"/>
    <w:lvl w:ilvl="0" w15:tentative="1">
      <w:start w:val="1"/>
      <w:numFmt w:val="decimal"/>
      <w:lvlText w:val="%1."/>
      <w:lvlJc w:val="left"/>
      <w:pPr>
        <w:ind w:left="460" w:hanging="300"/>
      </w:pPr>
    </w:lvl>
  </w:abstractNum>
  <w:abstractNum w:abstractNumId="54" w15:restartNumberingAfterBreak="0">
    <w:multiLevelType w:val="hybridMultilevel"/>
    <w:lvl w:ilvl="0" w15:tentative="1">
      <w:start w:val="1"/>
      <w:numFmt w:val="decimal"/>
      <w:lvlText w:val="%1."/>
      <w:lvlJc w:val="left"/>
      <w:pPr>
        <w:ind w:left="460" w:hanging="300"/>
      </w:pPr>
    </w:lvl>
  </w:abstractNum>
  <w:abstractNum w:abstractNumId="55" w15:restartNumberingAfterBreak="0">
    <w:multiLevelType w:val="hybridMultilevel"/>
    <w:lvl w:ilvl="0" w15:tentative="1">
      <w:start w:val="1"/>
      <w:numFmt w:val="decimal"/>
      <w:lvlText w:val="%1."/>
      <w:lvlJc w:val="left"/>
      <w:pPr>
        <w:ind w:left="460" w:hanging="300"/>
      </w:pPr>
    </w:lvl>
  </w:abstractNum>
  <w:abstractNum w:abstractNumId="56" w15:restartNumberingAfterBreak="0">
    <w:multiLevelType w:val="hybridMultilevel"/>
    <w:lvl w:ilvl="0" w15:tentative="1">
      <w:start w:val="1"/>
      <w:numFmt w:val="decimal"/>
      <w:lvlText w:val="%1."/>
      <w:lvlJc w:val="left"/>
      <w:pPr>
        <w:ind w:left="460" w:hanging="300"/>
      </w:pPr>
    </w:lvl>
  </w:abstractNum>
  <w:abstractNum w:abstractNumId="57" w15:restartNumberingAfterBreak="0">
    <w:multiLevelType w:val="hybridMultilevel"/>
    <w:lvl w:ilvl="0" w15:tentative="1">
      <w:start w:val="1"/>
      <w:numFmt w:val="decimal"/>
      <w:lvlText w:val="%1."/>
      <w:lvlJc w:val="left"/>
      <w:pPr>
        <w:ind w:left="460" w:hanging="300"/>
      </w:pPr>
    </w:lvl>
  </w:abstractNum>
  <w:abstractNum w:abstractNumId="58" w15:restartNumberingAfterBreak="0">
    <w:multiLevelType w:val="hybridMultilevel"/>
    <w:lvl w:ilvl="0" w15:tentative="1">
      <w:start w:val="1"/>
      <w:numFmt w:val="decimal"/>
      <w:lvlText w:val="%1."/>
      <w:lvlJc w:val="left"/>
      <w:pPr>
        <w:ind w:left="460" w:hanging="300"/>
      </w:pPr>
    </w:lvl>
  </w:abstractNum>
  <w:abstractNum w:abstractNumId="59" w15:restartNumberingAfterBreak="0">
    <w:multiLevelType w:val="hybridMultilevel"/>
    <w:lvl w:ilvl="0" w15:tentative="1">
      <w:start w:val="1"/>
      <w:numFmt w:val="decimal"/>
      <w:lvlText w:val="%1."/>
      <w:lvlJc w:val="left"/>
      <w:pPr>
        <w:ind w:left="460" w:hanging="300"/>
      </w:pPr>
    </w:lvl>
  </w:abstractNum>
  <w:abstractNum w:abstractNumId="60" w15:restartNumberingAfterBreak="0">
    <w:multiLevelType w:val="hybridMultilevel"/>
    <w:lvl w:ilvl="0" w15:tentative="1">
      <w:start w:val="1"/>
      <w:numFmt w:val="decimal"/>
      <w:lvlText w:val="%1."/>
      <w:lvlJc w:val="left"/>
      <w:pPr>
        <w:ind w:left="460" w:hanging="300"/>
      </w:pPr>
    </w:lvl>
  </w:abstractNum>
  <w:abstractNum w:abstractNumId="61" w15:restartNumberingAfterBreak="0">
    <w:multiLevelType w:val="hybridMultilevel"/>
    <w:lvl w:ilvl="0" w15:tentative="1">
      <w:start w:val="1"/>
      <w:numFmt w:val="decimal"/>
      <w:lvlText w:val="%1."/>
      <w:lvlJc w:val="left"/>
      <w:pPr>
        <w:ind w:left="460" w:hanging="300"/>
      </w:pPr>
    </w:lvl>
  </w:abstractNum>
  <w:abstractNum w:abstractNumId="62"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2026-07-22T08:05:54.639Z</dcterms:created>
  <dcterms:modified xsi:type="dcterms:W3CDTF">2026-07-22T08:05:54.640Z</dcterms:modified>
</cp:coreProperties>
</file>

<file path=docProps/custom.xml><?xml version="1.0" encoding="utf-8"?>
<Properties xmlns="http://schemas.openxmlformats.org/officeDocument/2006/custom-properties" xmlns:vt="http://schemas.openxmlformats.org/officeDocument/2006/docPropsVTypes"/>
</file>