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7270" w14:textId="77777777" w:rsidR="00DD51EF" w:rsidRDefault="00000000">
      <w:pPr>
        <w:spacing w:after="120"/>
        <w:jc w:val="center"/>
      </w:pPr>
      <w:r>
        <w:rPr>
          <w:b/>
        </w:rPr>
        <w:t>Plano de Trabalho de Doutorado</w:t>
      </w:r>
    </w:p>
    <w:p w14:paraId="6C9CFB5E" w14:textId="77777777" w:rsidR="00DD51EF" w:rsidRDefault="00000000">
      <w:pPr>
        <w:pStyle w:val="Ttulo1"/>
      </w:pPr>
      <w:r>
        <w:t>1. Título</w:t>
      </w:r>
    </w:p>
    <w:p w14:paraId="5D642654" w14:textId="77777777" w:rsidR="00DD51EF" w:rsidRDefault="00000000">
      <w:r>
        <w:t>**Expansão da inteligência morfológica hematológica para inteligência clínico-laboratorial multimodal robusta e interpretável**</w:t>
      </w:r>
    </w:p>
    <w:p w14:paraId="661F54FB" w14:textId="77777777" w:rsidR="00DD51EF" w:rsidRDefault="00000000">
      <w:pPr>
        <w:pStyle w:val="Ttulo1"/>
      </w:pPr>
      <w:r>
        <w:t>2. Introdução e contextualização</w:t>
      </w:r>
    </w:p>
    <w:p w14:paraId="5B0C13AC" w14:textId="77777777" w:rsidR="00DD51EF" w:rsidRDefault="00000000">
      <w:r>
        <w:t>A análise morfológica do esfregaço sanguíneo periférico permanece central na hematologia laboratorial, mesmo em ambientes amplamente automatizados. Embora analisadores hematológicos forneçam parâmetros quantitativos, contagens diferenciais e flags instrumentais, a interpretação de alterações celulares imaturas, atípicas ou displásicas ainda depende da articulação entre morfologia, hemograma e contexto do exame (Zini, 2024). Em paralelo, a microscopia digital e os sistemas assistidos por inteligência artificial mostram que a morfologia hematológica já pode ser incorporada a fluxos computacionais com relevância prática, aproximando a área de ambientes digitais mais escaláveis e reprodutíveis (Katz et al., 2021).</w:t>
      </w:r>
    </w:p>
    <w:p w14:paraId="795B9C4D" w14:textId="77777777" w:rsidR="00DD51EF" w:rsidRDefault="00000000">
      <w:r>
        <w:t>A literatura recente em IA aplicada à hematologia, porém, é assimétrica. O espaço mais povoado permanece sendo a classificação morfológica baseada apenas em imagem, sobretudo para leucócitos em imagens isoladas de esfregaço periférico (Asghar et al., 2024). Essa linha foi também o ponto de partida da trajetória do candidato, com dissertação e publicação voltadas à classificação automática de leucócitos, com atenção à variabilidade de coloração, aumento de dados orientado ao domínio e generalização externa (Kasprowicz &amp; Silva, 2026). Ao mesmo tempo, a revisão sistemática conduzida pelo candidato mostrou que, embora esse campo seja tecnicamente maduro em cenários controlados, permanecem lacunas relevantes em classes imaturas e atípicas, comparabilidade metodológica e aderência ao uso laboratorial real (Kasprowicz, Bacca, &amp; Silva, 2026).</w:t>
      </w:r>
    </w:p>
    <w:p w14:paraId="4A88289D" w14:textId="77777777" w:rsidR="00DD51EF" w:rsidRDefault="00000000">
      <w:r>
        <w:t>O doutorado proposto parte exatamente desse limite. Em vez de permanecer no eixo saturado de classificação image-only, propõe avançar para um problema computacional mais aderente à prática: integrar morfologia de esfregaço periférico, hemograma, flags do analisador e contexto laboratorial estruturado para inferência em nível de caso.</w:t>
      </w:r>
    </w:p>
    <w:p w14:paraId="648AE56D" w14:textId="77777777" w:rsidR="00DD51EF" w:rsidRDefault="00000000">
      <w:pPr>
        <w:pStyle w:val="Ttulo1"/>
      </w:pPr>
      <w:r>
        <w:t>3. Justificativa</w:t>
      </w:r>
    </w:p>
    <w:p w14:paraId="3F9070FF" w14:textId="39FD063F" w:rsidR="00DD51EF" w:rsidRDefault="00000000">
      <w:r>
        <w:t xml:space="preserve">Esta proposta é justificada por três razões principais. A primeira é de continuidade científica. O mestrado já estabeleceu uma base metodológica sólida em morfologia hematológica assistida por IA, incluindo curadoria de dados, anotação orientada por especialistas, comparação de arquiteturas e preocupação explícita com robustez e generalização (Kasprowicz &amp; Silva, 2026). O doutorado, portanto, não representa mudança temática, mas a progressão natural de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para </w:t>
      </w:r>
      <w:proofErr w:type="spellStart"/>
      <w:r>
        <w:t>inferência</w:t>
      </w:r>
      <w:proofErr w:type="spellEnd"/>
      <w:r>
        <w:t xml:space="preserve"> multimodal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caso</w:t>
      </w:r>
      <w:proofErr w:type="spellEnd"/>
      <w:r>
        <w:t>.</w:t>
      </w:r>
    </w:p>
    <w:p w14:paraId="234BBDC8" w14:textId="77777777" w:rsidR="00DD51EF" w:rsidRDefault="00000000">
      <w:r>
        <w:t>A segunda razão é a existência de uma lacuna científica clara. O mapeamento da literatura mostra que a integração entre morfologia, hemograma, flags do analisador e apoio à decisão em nível de caso ainda é pouco consolidada. Estudos recentes indicam a viabilidade dessa direção, seja pela agregação de citomorfologia com contagens sanguíneas em inferências associadas à doença (de Almeida et al., 2023), seja pela combinação entre análise de imagem e exames básicos de sangue para assistência diagnóstica (Horiuchi et al., 2026). Ainda assim, esse espaço permanece muito menos maduro do que a classificação puramente imagética.</w:t>
      </w:r>
    </w:p>
    <w:p w14:paraId="2BBC5EA6" w14:textId="77777777" w:rsidR="00DD51EF" w:rsidRDefault="00000000">
      <w:r>
        <w:t>A terceira razão é a relevância para a Ciência da Computação. O problema central não é apenas aplicar IA à saúde, mas investigar como integrar modalidades heterogêneas, comparar estratégias de fusão, avaliar robustez sob variabilidade laboratorial e produzir inferências interpretáveis em nível de caso. Isso o alinha diretamente à linha de Inteligência Computacional do PPGCC/UFSC. Além disso, o uso de dados retrospectivos reais aumenta a originalidade e a viabilidade da proposta, pois permite formular tarefas mais próximas do fluxo laboratorial do que benchmarks públicos puramente imagéticos.</w:t>
      </w:r>
    </w:p>
    <w:p w14:paraId="7487DA99" w14:textId="77777777" w:rsidR="00DD51EF" w:rsidRDefault="00000000">
      <w:pPr>
        <w:pStyle w:val="Ttulo1"/>
      </w:pPr>
      <w:r>
        <w:lastRenderedPageBreak/>
        <w:t>4. Problema de pesquisa</w:t>
      </w:r>
    </w:p>
    <w:p w14:paraId="1ADA06B0" w14:textId="77777777" w:rsidR="00DD51EF" w:rsidRDefault="00000000">
      <w:r>
        <w:t>Apesar dos avanços em visão computacional aplicada à hematologia, ainda são escassos sistemas robustos e interpretáveis capazes de integrar morfologia de esfregaço sanguíneo periférico, parâmetros do hemograma, flags do analisador hematológico e contexto laboratorial estruturado para apoiar inferências hematológicas em nível de caso.</w:t>
      </w:r>
    </w:p>
    <w:p w14:paraId="393F3F04" w14:textId="77777777" w:rsidR="00DD51EF" w:rsidRDefault="00000000">
      <w:pPr>
        <w:pStyle w:val="Ttulo1"/>
      </w:pPr>
      <w:r>
        <w:t>5. Objetivos</w:t>
      </w:r>
    </w:p>
    <w:p w14:paraId="4A615551" w14:textId="77777777" w:rsidR="00DD51EF" w:rsidRDefault="00000000">
      <w:pPr>
        <w:pStyle w:val="Ttulo2"/>
      </w:pPr>
      <w:r>
        <w:t>Objetivo geral</w:t>
      </w:r>
    </w:p>
    <w:p w14:paraId="1312EE9A" w14:textId="77777777" w:rsidR="00DD51EF" w:rsidRDefault="00000000">
      <w:r>
        <w:t>Desenvolver e avaliar uma abordagem de inteligência artificial multimodal para hematologia, capaz de integrar morfologia de esfregaço periférico, hemograma, flags do analisador e contexto laboratorial estruturado, com foco em robustez, interpretabilidade e apoio à decisão em nível de caso.</w:t>
      </w:r>
    </w:p>
    <w:p w14:paraId="58584C2E" w14:textId="77777777" w:rsidR="00DD51EF" w:rsidRDefault="00000000">
      <w:pPr>
        <w:pStyle w:val="Ttulo2"/>
      </w:pPr>
      <w:r>
        <w:t>Objetivos específicos</w:t>
      </w:r>
    </w:p>
    <w:p w14:paraId="4E6F706E" w14:textId="77777777" w:rsidR="00DD51EF" w:rsidRDefault="00000000">
      <w:pPr>
        <w:ind w:left="425" w:hanging="255"/>
      </w:pPr>
      <w:r>
        <w:rPr>
          <w:b/>
        </w:rPr>
        <w:t xml:space="preserve">1. </w:t>
      </w:r>
      <w:r>
        <w:t>Construir uma base multimodal retrospectiva em hematologia, integrando imagens de esfregaço periférico, parâmetros do hemograma, contagens diferenciais, flags do analisador e metadados laboratoriais essenciais.</w:t>
      </w:r>
    </w:p>
    <w:p w14:paraId="2438FF22" w14:textId="77777777" w:rsidR="00DD51EF" w:rsidRDefault="00000000">
      <w:pPr>
        <w:ind w:left="425" w:hanging="255"/>
      </w:pPr>
      <w:r>
        <w:rPr>
          <w:b/>
        </w:rPr>
        <w:t xml:space="preserve">2. </w:t>
      </w:r>
      <w:r>
        <w:t>Desenvolver e comparar estratégias de fusão multimodal, contrastando modelos baseados apenas em imagem, apenas em dados estruturados e modelos integrados.</w:t>
      </w:r>
    </w:p>
    <w:p w14:paraId="39A086A8" w14:textId="77777777" w:rsidR="00DD51EF" w:rsidRDefault="00000000">
      <w:pPr>
        <w:ind w:left="425" w:hanging="255"/>
      </w:pPr>
      <w:r>
        <w:rPr>
          <w:b/>
        </w:rPr>
        <w:t xml:space="preserve">3. </w:t>
      </w:r>
      <w:r>
        <w:t>Investigar robustez, generalização, calibração e incerteza diante de variabilidade laboratorial real.</w:t>
      </w:r>
    </w:p>
    <w:p w14:paraId="5E5AA38F" w14:textId="77777777" w:rsidR="00DD51EF" w:rsidRDefault="00000000">
      <w:pPr>
        <w:ind w:left="425" w:hanging="255"/>
      </w:pPr>
      <w:r>
        <w:rPr>
          <w:b/>
        </w:rPr>
        <w:t xml:space="preserve">4. </w:t>
      </w:r>
      <w:r>
        <w:t>Avaliar mecanismos de interpretabilidade multimodal e sua utilidade em tarefas de triagem, priorização de revisão manual e identificação de padrões suspeitos.</w:t>
      </w:r>
    </w:p>
    <w:p w14:paraId="56419E8F" w14:textId="77777777" w:rsidR="00DD51EF" w:rsidRDefault="00000000">
      <w:pPr>
        <w:pStyle w:val="Ttulo1"/>
      </w:pPr>
      <w:r>
        <w:t>6. Fundamentação teórica / estado da arte</w:t>
      </w:r>
    </w:p>
    <w:p w14:paraId="2E6CA639" w14:textId="77777777" w:rsidR="00DD51EF" w:rsidRDefault="00000000">
      <w:r>
        <w:t>A fundamentação teórica do projeto parte de dois diagnósticos convergentes. O primeiro é que a morfologia hematológica continua clinicamente relevante. Revisões recentes mostram que a citomorfologia permanece decisiva na avaliação de alterações hematológicas, mesmo com a incorporação de recursos digitais e inteligência artificial (Zini, 2024). Além disso, plataformas digitais de morfologia já demonstram viabilidade operacional e reprodutibilidade em ambiente real, o que reforça a maturidade translacional do domínio (Katz et al., 2021).</w:t>
      </w:r>
    </w:p>
    <w:p w14:paraId="19319D1F" w14:textId="77777777" w:rsidR="00DD51EF" w:rsidRDefault="00000000">
      <w:r>
        <w:t>O segundo diagnóstico é que a maior parte da literatura em IA hematológica permanece concentrada em tarefas de classificação image-only. A revisão de Asghar et al. (2024) mostra forte predominância de pipelines baseados em CNNs e deep learning para classificação de leucócitos, com bom desempenho em classes maduras, mas com limitações de comparabilidade, generalização e aderência à lógica laboratorial. Em consonância com isso, a revisão sistemática do candidato destacou que o espaço image-only já é tecnicamente maduro, mas ainda insuficiente para cenários com maior ambiguidade morfológica e relevância clínica (Kasprowicz et al., 2026).</w:t>
      </w:r>
    </w:p>
    <w:p w14:paraId="1F655B85" w14:textId="77777777" w:rsidR="00DD51EF" w:rsidRDefault="00000000">
      <w:r>
        <w:t xml:space="preserve">Essa limitação é estrutural. Na prática hematológica, a interpretação de um achado morfológico depende de sua articulação com o hemograma, com as flags do analisador e com o contexto do caso. A decisão laboratorial, portanto, é construída em nível de caso. Nesse ponto, a literatura ainda apresenta poucos estudos diretamente competitivos. De Almeida et al. (2023) mostraram que </w:t>
      </w:r>
      <w:proofErr w:type="gramStart"/>
      <w:r>
        <w:t>a</w:t>
      </w:r>
      <w:proofErr w:type="gramEnd"/>
      <w:r>
        <w:t xml:space="preserve"> análise computacional de esfregaços periféricos pode identificar citomorfologias associadas à doença e ganhar valor quando relacionada a </w:t>
      </w:r>
      <w:r w:rsidRPr="00B73E76">
        <w:rPr>
          <w:i/>
          <w:iCs/>
        </w:rPr>
        <w:t>blood counts.</w:t>
      </w:r>
      <w:r>
        <w:t xml:space="preserve"> Horiuchi et al. (2026) mostraram a viabilidade de combinar análise de imagem de células periféricas com exames básicos de sangue para assistência diagnóstica. No eixo de apoio à decisão, PROSER demonstra que dados estruturados podem ser integrados à interpretação do esfregaço, ainda que sem constituir um framework multimodal profundo completo (Iscoe et al., 2023).</w:t>
      </w:r>
    </w:p>
    <w:p w14:paraId="0E74CC12" w14:textId="77777777" w:rsidR="00DD51EF" w:rsidRDefault="00000000">
      <w:r>
        <w:t>Assim, a principal lacuna do estado da arte não é a ausência de classificadores morfológicos, mas a escassez de sistemas multimodais, robustos e interpretáveis que integrem morfologia, hemograma, flags e contexto laboratorial estruturado para inferência hematológica em nível de caso.</w:t>
      </w:r>
    </w:p>
    <w:p w14:paraId="31C57E58" w14:textId="77777777" w:rsidR="00DD51EF" w:rsidRDefault="00000000">
      <w:pPr>
        <w:pStyle w:val="Ttulo1"/>
      </w:pPr>
      <w:r>
        <w:lastRenderedPageBreak/>
        <w:t>7. Metodologia</w:t>
      </w:r>
    </w:p>
    <w:p w14:paraId="008CCB77" w14:textId="77777777" w:rsidR="00DD51EF" w:rsidRDefault="00000000">
      <w:r>
        <w:t>A metodologia será retrospectiva, modular e orientada à publicação, de modo a compatibilizar rigor científico com viabilidade para pesquisador que trabalha em tempo integral.</w:t>
      </w:r>
    </w:p>
    <w:p w14:paraId="3466515F" w14:textId="77777777" w:rsidR="00DD51EF" w:rsidRDefault="00000000">
      <w:r>
        <w:t>Na primeira etapa, será realizada a curadoria da base multimodal, com definição dos critérios de inclusão dos casos e identificação das fontes de dados disponíveis. A base deverá integrar imagens de esfregaço periférico, parâmetros do hemograma, contagens diferenciais, flags do analisador hematológico e metadados laboratoriais essenciais. Nessa fase, serão tratados consistência temporal entre modalidades, qualidade dos registros e dados faltantes. O foco será a construção de uma base retrospectiva em nível de caso, e não de uma plataforma universal de hematologia.</w:t>
      </w:r>
    </w:p>
    <w:p w14:paraId="544C8BBE" w14:textId="77777777" w:rsidR="00DD51EF" w:rsidRDefault="00000000">
      <w:r>
        <w:t xml:space="preserve">Na segunda etapa, serão definidas as tarefas computacionais centrais, priorizando usos alinhados à rotina laboratorial, como priorização de revisão manual, identificação de casos suspeitos e análise de concordância ou discordância entre morfologia e sinais estruturados. Essa escolha é importante para justificar por que a multimodalidade é necessária e para evitar que o projeto se reduza </w:t>
      </w:r>
      <w:proofErr w:type="gramStart"/>
      <w:r>
        <w:t>a</w:t>
      </w:r>
      <w:proofErr w:type="gramEnd"/>
      <w:r>
        <w:t xml:space="preserve"> outro </w:t>
      </w:r>
      <w:r w:rsidRPr="00B73E76">
        <w:rPr>
          <w:i/>
          <w:iCs/>
        </w:rPr>
        <w:t>benchmark</w:t>
      </w:r>
      <w:r>
        <w:t xml:space="preserve"> de classificação celular.</w:t>
      </w:r>
    </w:p>
    <w:p w14:paraId="1799E263" w14:textId="77777777" w:rsidR="00DD51EF" w:rsidRDefault="00000000">
      <w:r>
        <w:t>Na terceira etapa, serão implementados os baselines e os modelos multimodais. O desenho comparativo será obrigatório: modelos apenas com imagem, apenas com dados estruturados e modelos integrados. A contribuição computacional central estará na comparação entre estratégias de fusão e na análise de quando a multimodalidade realmente agrega valor em relação a abordagens unimodais.</w:t>
      </w:r>
    </w:p>
    <w:p w14:paraId="058EB07B" w14:textId="77777777" w:rsidR="00DD51EF" w:rsidRDefault="00000000">
      <w:r>
        <w:t>Na quarta etapa, será conduzida a avaliação de robustez, generalização, calibração, incerteza e interpretabilidade. Essa etapa dialoga diretamente com a trajetória do candidato, que já investigou variabilidade de coloração e generalização externa em morfologia hematológica (Kasprowicz &amp; Silva, 2026). No doutorado, essa lógica será expandida para sistemas multimodais em contexto laboratorial real.</w:t>
      </w:r>
    </w:p>
    <w:p w14:paraId="4E152138" w14:textId="77777777" w:rsidR="00DD51EF" w:rsidRDefault="00000000">
      <w:r>
        <w:t>O escopo permanece estritamente delimitado: pertencem ao núcleo da tese a morfologia de esfregaço periférico, o hemograma, as flags do analisador, a inferência em nível de caso, a robustez e a interpretabilidade. Estão fora do escopo central integrações amplas com genômica, mielograma, citometria de fluxo ou sistemas genéricos baseados em LLM.</w:t>
      </w:r>
    </w:p>
    <w:p w14:paraId="1BA84693" w14:textId="77777777" w:rsidR="00DD51EF" w:rsidRDefault="00000000">
      <w:pPr>
        <w:pStyle w:val="Ttulo1"/>
      </w:pPr>
      <w:r>
        <w:t>8. Resultados esperados</w:t>
      </w:r>
    </w:p>
    <w:p w14:paraId="21A83817" w14:textId="77777777" w:rsidR="00DD51EF" w:rsidRDefault="00000000">
      <w:r>
        <w:t>Espera-se produzir uma base multimodal retrospectiva em hematologia adequada para experimentos reprodutíveis em nível de caso, além de métodos de fusão capazes de superar limitações de abordagens image-only em tarefas mais próximas da prática laboratorial. Também se espera gerar evidências sobre robustez, calibração, incerteza e interpretabilidade em IA multimodal aplicada à hematologia, contribuindo para sistemas mais confiáveis em ambiente real.</w:t>
      </w:r>
    </w:p>
    <w:p w14:paraId="4D7C9728" w14:textId="77777777" w:rsidR="00DD51EF" w:rsidRDefault="00000000">
      <w:r>
        <w:t>Do ponto de vista científico, o projeto deverá explicitar quando e por que a integração entre morfologia, hemograma e flags produz ganho inferencial em comparação com modelos unimodais. Do ponto de vista translacional, espera-se produzir saídas úteis para triagem e priorização de revisão manual, sem pretensão de substituir o especialista.</w:t>
      </w:r>
    </w:p>
    <w:p w14:paraId="3FBFBA57" w14:textId="77777777" w:rsidR="00DD51EF" w:rsidRDefault="00000000">
      <w:r>
        <w:t>Em termos de publicação, o projeto foi desenhado para gerar, de forma realista, três ou quatro frentes principais: base multimodal e formulação do problema; comparação entre abordagens unimodais e multimodais; robustez e confiabilidade; e interpretabilidade aplicada ao apoio à decisão laboratorial.</w:t>
      </w:r>
    </w:p>
    <w:p w14:paraId="395C6928" w14:textId="77777777" w:rsidR="00DD51EF" w:rsidRDefault="00000000">
      <w:pPr>
        <w:pStyle w:val="Ttulo1"/>
      </w:pPr>
      <w:r>
        <w:t>9. Cronograma resumido</w:t>
      </w:r>
    </w:p>
    <w:p w14:paraId="293AFD4C" w14:textId="77777777" w:rsidR="00DD51EF" w:rsidRDefault="00000000">
      <w:r>
        <w:t>**Ano 1:** revisão dirigida da literatura, delimitação final do escopo, curadoria inicial da base retrospectiva e definição das tarefas centrais.</w:t>
      </w:r>
    </w:p>
    <w:p w14:paraId="57141750" w14:textId="77777777" w:rsidR="00DD51EF" w:rsidRDefault="00000000">
      <w:r>
        <w:t>**Ano 2:** implementação dos baselines unimodais, desenvolvimento inicial dos modelos multimodais e submissão do primeiro artigo.</w:t>
      </w:r>
    </w:p>
    <w:p w14:paraId="38CF3593" w14:textId="77777777" w:rsidR="00DD51EF" w:rsidRDefault="00000000">
      <w:r>
        <w:t>**Ano 3:** aprofundamento dos experimentos multimodais, avaliação de robustez, calibração, incerteza e interpretabilidade, com submissão dos artigos metodológicos principais.</w:t>
      </w:r>
    </w:p>
    <w:p w14:paraId="00471642" w14:textId="77777777" w:rsidR="00DD51EF" w:rsidRDefault="00000000">
      <w:r>
        <w:t>**Ano 4:** consolidação dos resultados, integração final da camada de apoio à decisão, redação e defesa da tese.</w:t>
      </w:r>
    </w:p>
    <w:p w14:paraId="422D8AE3" w14:textId="77777777" w:rsidR="00DD51EF" w:rsidRDefault="00000000">
      <w:pPr>
        <w:pStyle w:val="Ttulo1"/>
      </w:pPr>
      <w:r>
        <w:lastRenderedPageBreak/>
        <w:t>10. Referências</w:t>
      </w:r>
    </w:p>
    <w:p w14:paraId="6836070C" w14:textId="77777777" w:rsidR="00DD51EF" w:rsidRDefault="00000000">
      <w:r>
        <w:t>Asghar, R., Kumar, S., Shaukat, A., &amp; Hynds, P. (2024). Classification of white blood cells (leucocytes) from blood smear imagery using machine and deep learning models: A global scoping review. *PLOS ONE*. https://doi.org/10.1371/journal.pone.0292026</w:t>
      </w:r>
    </w:p>
    <w:p w14:paraId="7BB944C0" w14:textId="77777777" w:rsidR="00DD51EF" w:rsidRDefault="00000000">
      <w:r>
        <w:t>de Almeida, J. G., Gudgin, E., Besser, M., Dunn, W. G., Cooper, J., Haferlach, T., Vassiliou, G. S., &amp; Gerstung, M. (2023). Computational analysis of peripheral blood smears detects disease-associated cytomorphologies. *Nature Communications*. https://doi.org/10.1038/s41467-023-39676-y</w:t>
      </w:r>
    </w:p>
    <w:p w14:paraId="0D8F8173" w14:textId="77777777" w:rsidR="00DD51EF" w:rsidRDefault="00000000">
      <w:r>
        <w:t>Horiuchi, Y., Ravzanaadii, M., Bai, J., Matsuzaki, A., Kaniyu, K., Ando, J., Ando, M., Nojiri, S., Iwasaki, Y., Konishi, A., &amp; Tabe, Y. (2026). Application of convolutional neural network image analysis and machine learning to basic blood tests for intelligent diagnostic assistance. *International Journal of Laboratory Hematology, 48*, 26-38. https://doi.org/10.1111/ijlh.14550</w:t>
      </w:r>
    </w:p>
    <w:p w14:paraId="5565CA74" w14:textId="77777777" w:rsidR="00DD51EF" w:rsidRDefault="00000000">
      <w:r>
        <w:t>Iscoe, M. S., Loza, A. J., Turbiville, D., Campbell, S. M., Peaper, D. R., Balbuena-Merle, R. I., &amp; Hauser, R. G. (2023). PROSER: A web-based peripheral blood smear interpretation support tool utilizing electronic health record data. *American Journal of Clinical Pathology, 160*, 98-105. https://doi.org/10.1093/ajcp/aqad024</w:t>
      </w:r>
    </w:p>
    <w:p w14:paraId="3D14AE64" w14:textId="77777777" w:rsidR="00DD51EF" w:rsidRDefault="00000000">
      <w:r>
        <w:t>Kasprowicz, J., Bacca, H. G., &amp; Silva, A. G. (2026). Revisão sistemática sobre técnicas de visão computacional aplicadas à classificação de leucócitos. *Journal of Health Informatics, 18*. https://doi.org/10.59681/2175-4411.v18.2026.1519</w:t>
      </w:r>
    </w:p>
    <w:p w14:paraId="5D72FB88" w14:textId="77777777" w:rsidR="00DD51EF" w:rsidRDefault="00000000">
      <w:r>
        <w:t>Kasprowicz, J., &amp; Silva, A. G. (2026). Comparative analysis of convolutional and vision transformer models for automated leukocyte classification enhanced by generative color augmentation. *Signal, Image and Video Processing*. https://doi.org/10.1007/s11760-026-05309-2</w:t>
      </w:r>
    </w:p>
    <w:p w14:paraId="1F287C01" w14:textId="77777777" w:rsidR="00DD51EF" w:rsidRDefault="00000000">
      <w:r>
        <w:t>Katz, B.-Z., Feldman, M. D., Tessema, M., Benisty, D., Stewart Toles, G., Andre, A., Shtreker, B., Paz, F. M., Edwards, J., Jengehino, D., Bagg, A., Avivi, I., &amp; Pozdnyakova, O. (2021). Evaluation of Scopio Labs X100 Full Field PBS: The first high-resolution full field viewing of peripheral blood specimens combined with artificial intelligence-based morphological analysis. *International Journal of Laboratory Hematology, 43*, 1408-1416. https://doi.org/10.1111/ijlh.13681</w:t>
      </w:r>
    </w:p>
    <w:p w14:paraId="6F2A05E8" w14:textId="77777777" w:rsidR="00DD51EF" w:rsidRDefault="00000000">
      <w:r>
        <w:t>Zini, G. (2024). Hematological cytomorphology: Where we are. *International Journal of Laboratory Hematology, 46*, 789-794. https://doi.org/10.1111/ijlh.14330</w:t>
      </w:r>
    </w:p>
    <w:sectPr w:rsidR="00DD51EF" w:rsidSect="00034616">
      <w:footerReference w:type="default" r:id="rId8"/>
      <w:pgSz w:w="11906" w:h="16838"/>
      <w:pgMar w:top="1134" w:right="1134" w:bottom="1134" w:left="1134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0948B" w14:textId="77777777" w:rsidR="00960249" w:rsidRDefault="00960249">
      <w:r>
        <w:separator/>
      </w:r>
    </w:p>
  </w:endnote>
  <w:endnote w:type="continuationSeparator" w:id="0">
    <w:p w14:paraId="41C1A289" w14:textId="77777777" w:rsidR="00960249" w:rsidRDefault="00960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E73A5" w14:textId="77777777" w:rsidR="00DD51EF" w:rsidRDefault="00000000">
    <w:pPr>
      <w:pStyle w:val="Rodap"/>
      <w:jc w:val="right"/>
    </w:pPr>
    <w:r>
      <w:fldChar w:fldCharType="begin"/>
    </w:r>
    <w:r>
      <w:instrText xml:space="preserve"> PAGE </w:instrText>
    </w:r>
    <w:r w:rsidR="008D54EA">
      <w:fldChar w:fldCharType="separate"/>
    </w:r>
    <w:r w:rsidR="008D54E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E4C26" w14:textId="77777777" w:rsidR="00960249" w:rsidRDefault="00960249">
      <w:r>
        <w:separator/>
      </w:r>
    </w:p>
  </w:footnote>
  <w:footnote w:type="continuationSeparator" w:id="0">
    <w:p w14:paraId="5ED2717A" w14:textId="77777777" w:rsidR="00960249" w:rsidRDefault="009602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86035">
    <w:abstractNumId w:val="8"/>
  </w:num>
  <w:num w:numId="2" w16cid:durableId="1735278230">
    <w:abstractNumId w:val="6"/>
  </w:num>
  <w:num w:numId="3" w16cid:durableId="607271991">
    <w:abstractNumId w:val="5"/>
  </w:num>
  <w:num w:numId="4" w16cid:durableId="2058160369">
    <w:abstractNumId w:val="4"/>
  </w:num>
  <w:num w:numId="5" w16cid:durableId="1013188286">
    <w:abstractNumId w:val="7"/>
  </w:num>
  <w:num w:numId="6" w16cid:durableId="2096898029">
    <w:abstractNumId w:val="3"/>
  </w:num>
  <w:num w:numId="7" w16cid:durableId="1012072652">
    <w:abstractNumId w:val="2"/>
  </w:num>
  <w:num w:numId="8" w16cid:durableId="920914089">
    <w:abstractNumId w:val="1"/>
  </w:num>
  <w:num w:numId="9" w16cid:durableId="105107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298E"/>
    <w:rsid w:val="008D54EA"/>
    <w:rsid w:val="00911CA9"/>
    <w:rsid w:val="00960249"/>
    <w:rsid w:val="00AA1D8D"/>
    <w:rsid w:val="00B47730"/>
    <w:rsid w:val="00B73E76"/>
    <w:rsid w:val="00CB0664"/>
    <w:rsid w:val="00DD51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8F81A3"/>
  <w14:defaultImageDpi w14:val="300"/>
  <w15:docId w15:val="{AD6A2A36-8F72-7349-9DDD-A3B52F18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2195</Words>
  <Characters>11859</Characters>
  <Application>Microsoft Office Word</Application>
  <DocSecurity>0</DocSecurity>
  <Lines>98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Kasprowicz</cp:lastModifiedBy>
  <cp:revision>4</cp:revision>
  <dcterms:created xsi:type="dcterms:W3CDTF">2013-12-23T23:15:00Z</dcterms:created>
  <dcterms:modified xsi:type="dcterms:W3CDTF">2026-05-30T21:01:00Z</dcterms:modified>
  <cp:category/>
</cp:coreProperties>
</file>