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4963E" w14:textId="77777777" w:rsidR="00186176" w:rsidRDefault="00000000">
      <w:pPr>
        <w:spacing w:after="240"/>
        <w:ind w:firstLine="0"/>
        <w:jc w:val="center"/>
      </w:pPr>
      <w:r>
        <w:rPr>
          <w:rFonts w:ascii="Times New Roman" w:hAnsi="Times New Roman" w:eastAsia="Times New Roman"/>
        </w:rPr>
      </w:r>
      <w:r>
        <w:rPr>
          <w:rFonts w:ascii="Times New Roman" w:hAnsi="Times New Roman" w:eastAsia="Times New Roman"/>
          <w:b/>
          <w:sz w:val="28"/>
        </w:rPr>
        <w:t>FENOTIPAGEM LABORATORIAL EXPLORATÓRIA EM ATENDIMENTOS CLÍNICOS REAIS</w:t>
      </w:r>
    </w:p>
    <w:p>
      <w:pPr>
        <w:ind w:firstLine="0"/>
        <w:jc w:val="center"/>
      </w:pPr>
      <w:r>
        <w:rPr>
          <w:rFonts w:ascii="Times New Roman" w:hAnsi="Times New Roman" w:eastAsia="Times New Roman"/>
        </w:rPr>
      </w:r>
      <w:r>
        <w:rPr>
          <w:rFonts w:ascii="Times New Roman" w:hAnsi="Times New Roman" w:eastAsia="Times New Roman"/>
          <w:b/>
          <w:sz w:val="28"/>
        </w:rPr>
        <w:t>EXPLORATORY LABORATORY PHENOTYPING IN REAL-WORLD CLINICAL ENCOUNTERS</w:t>
      </w:r>
    </w:p>
    <w:p w14:paraId="3364A968" w14:textId="77777777" w:rsidR="00186176" w:rsidRDefault="00000000" w:rsidP="001949DA">
      <w:pPr>
        <w:pStyle w:val="Ttulo1"/>
        <w:spacing w:after="0"/>
        <w:ind w:firstLine="0"/>
        <w:jc w:val="left"/>
      </w:pPr>
      <w:r>
        <w:rPr>
          <w:rFonts w:ascii="Times New Roman" w:hAnsi="Times New Roman" w:eastAsia="Times New Roman"/>
          <w:b/>
          <w:sz w:val="24"/>
        </w:rPr>
        <w:t>Resumo</w:t>
      </w:r>
    </w:p>
    <w:p>
      <w:pPr>
        <w:spacing w:line="480" w:lineRule="auto"/>
        <w:ind w:firstLine="850"/>
        <w:jc w:val="both"/>
      </w:pPr>
      <w:r>
        <w:rPr>
          <w:rFonts w:ascii="Times New Roman" w:hAnsi="Times New Roman" w:eastAsia="Times New Roman"/>
          <w:sz w:val="24"/>
        </w:rPr>
        <w:t>Atendimentos clínicos heterogêneos costumam gerar combinações laboratoriais difíceis de interpretar por meio de marcadores isolados. Este estudo investigou se um painel laboratorial rotineiro poderia identificar perfis recorrentes em dados reais e contribuir para uma leitura aplicada de informática em saúde. Realizou-se estudo retrospectivo observacional com registros laboratoriais institucionais de 2022 a 2024, analisados por atendimento clínico. Foram considerados os exames obtidos nas primeiras 24 horas e selecionadas oito variáveis do vetor analítico final: leucócitos, plaquetas, proteína C reativa, creatinina, ureia, TGO, TGP e idade. Após padronização, transformação log1p, imputação KNN e escalonamento robusto, aplicou-se análise exploratória de agrupamentos. Foram incluídos 26.414 atendimentos. A solução com três grupos apresentou silhueta de 0,29 e distribuições de 22,1%, 19,0% e 58,9% para os perfis inflamatório-renal, hepático e basal. Na análise de robustez, a retirada da idade reduziu a silhueta para 0,2427, mas preservou o perfil inflamatório-renal. A análise por primeiro atendimento elevou a frequência do perfil basal de 58,9% para 63,9%, e o critério n_exames &gt;= 6 reteve 34,2% dos atendimentos candidatos. Conclui-se que dados laboratoriais de rotina podem sustentar fenotipagem exploratória clinicamente plausível em uma coorte multimarcador rica em exames. Os resultados têm utilidade descritiva e para geração de hipóteses, mas não validam subgrupos clínicos generalizáveis.</w:t>
      </w:r>
    </w:p>
    <w:p>
      <w:pPr>
        <w:spacing w:line="480" w:lineRule="auto"/>
        <w:ind w:firstLine="0"/>
        <w:jc w:val="both"/>
      </w:pPr>
      <w:r>
        <w:rPr>
          <w:rFonts w:ascii="Times New Roman" w:hAnsi="Times New Roman" w:eastAsia="Times New Roman"/>
          <w:sz w:val="24"/>
        </w:rPr>
        <w:t>Palavras-chave: dados do mundo real; heterogeneidade biológica; análise multivariada.</w:t>
      </w:r>
    </w:p>
    <w:p>
      <w:pPr>
        <w:pStyle w:val="Ttulo1"/>
        <w:ind w:firstLine="0"/>
        <w:jc w:val="left"/>
      </w:pPr>
      <w:r>
        <w:rPr>
          <w:rFonts w:ascii="Times New Roman" w:hAnsi="Times New Roman" w:eastAsia="Times New Roman"/>
          <w:sz w:val="24"/>
        </w:rPr>
        <w:t>Abstract</w:t>
      </w:r>
    </w:p>
    <w:p>
      <w:pPr>
        <w:spacing w:line="480" w:lineRule="auto"/>
        <w:ind w:firstLine="850"/>
        <w:jc w:val="both"/>
      </w:pPr>
      <w:r>
        <w:rPr>
          <w:rFonts w:ascii="Times New Roman" w:hAnsi="Times New Roman" w:eastAsia="Times New Roman"/>
          <w:sz w:val="24"/>
        </w:rPr>
        <w:t>Heterogeneous clinical encounters often generate laboratory patterns that are difficult to interpret through isolated markers. This study examined whether a routine laboratory panel could identify recurrent profiles in real-world data and contribute to an applied health informatics perspective. A retrospective observational study was conducted using institutional laboratory records from 2022 to 2024, analyzed at the encounter level. Tests obtained within the first 24 hours were considered, and eight variables composed the final analytic vector: leukocytes, platelets, C-reactive protein, creatinine, urea, AST, ALT, and age. After standardization, log1p transformation, KNN imputation, and robust scaling, an exploratory clustering analysis was performed. A total of 26,414 encounters were included. The three-group solution showed a silhouette of 0.29, with inflammatory-renal, hepatic, and baseline profiles representing 22.1%, 19.0%, and 58.9% of encounters, respectively. In the robustness analysis, removing age reduced the silhouette to 0.2427, but the inflammatory-renal profile persisted. The first-encounter analysis increased the frequency of the baseline profile from 58.9% to 63.9%, and the n_exames &gt;= 6 criterion retained 34.2% of candidate encounters. Routine laboratory data can therefore support clinically plausible exploratory phenotyping in a multimarker-rich cohort. The findings are descriptive and hypothesis-generating, but they do not validate generalizable clinical subgroups.</w:t>
      </w:r>
    </w:p>
    <w:p>
      <w:pPr>
        <w:spacing w:line="480" w:lineRule="auto"/>
        <w:ind w:firstLine="0"/>
        <w:jc w:val="both"/>
      </w:pPr>
      <w:r>
        <w:rPr>
          <w:rFonts w:ascii="Times New Roman" w:hAnsi="Times New Roman" w:eastAsia="Times New Roman"/>
          <w:sz w:val="24"/>
        </w:rPr>
        <w:t>Keywords: real-world data; biological heterogeneity; multivariable analysis.</w:t>
      </w:r>
    </w:p>
    <w:p w14:paraId="5AA9827A" w14:textId="77777777" w:rsidR="00186176" w:rsidRDefault="00000000">
      <w:pPr>
        <w:spacing w:after="80"/>
        <w:ind w:firstLine="0"/>
        <w:jc w:val="left"/>
      </w:pPr>
      <w:r>
        <w:rPr>
          <w:rFonts w:ascii="Times New Roman" w:hAnsi="Times New Roman" w:eastAsia="Times New Roman"/>
          <w:b/>
          <w:sz w:val="24"/>
        </w:rPr>
        <w:t>Introdução</w:t>
      </w:r>
    </w:p>
    <w:p w14:paraId="33FF5C4F" w14:textId="77777777" w:rsidR="00186176" w:rsidRDefault="00000000">
      <w:pPr>
        <w:spacing w:after="120" w:line="480" w:lineRule="auto"/>
        <w:ind w:firstLine="850"/>
        <w:jc w:val="both"/>
      </w:pPr>
      <w:r>
        <w:rPr>
          <w:rFonts w:ascii="Times New Roman" w:hAnsi="Times New Roman" w:eastAsia="Times New Roman"/>
          <w:sz w:val="24"/>
        </w:rPr>
        <w:t xml:space="preserve">Os serviços de urgência e emergência operam em um ambiente de elevada incerteza diagnóstica, pressão temporal e grande </w:t>
      </w:r>
      <w:proofErr w:type="spellStart"/>
      <w:r>
        <w:rPr>
          <w:rFonts w:ascii="Times New Roman" w:hAnsi="Times New Roman" w:eastAsia="Times New Roman"/>
          <w:sz w:val="24"/>
        </w:rPr>
        <w:t>variabilidade</w:t>
      </w:r>
      <w:proofErr w:type="spellEnd"/>
      <w:r>
        <w:rPr>
          <w:rFonts w:ascii="Times New Roman" w:hAnsi="Times New Roman" w:eastAsia="Times New Roman"/>
          <w:sz w:val="24"/>
        </w:rPr>
        <w:t xml:space="preserve"> de </w:t>
      </w:r>
      <w:proofErr w:type="spellStart"/>
      <w:r>
        <w:rPr>
          <w:rFonts w:ascii="Times New Roman" w:hAnsi="Times New Roman" w:eastAsia="Times New Roman"/>
          <w:sz w:val="24"/>
        </w:rPr>
        <w:t>apresentações</w:t>
      </w:r>
      <w:proofErr w:type="spellEnd"/>
      <w:r>
        <w:rPr>
          <w:rFonts w:ascii="Times New Roman" w:hAnsi="Times New Roman" w:eastAsia="Times New Roman"/>
          <w:sz w:val="24"/>
        </w:rPr>
        <w:t xml:space="preserve"> </w:t>
      </w:r>
      <w:proofErr w:type="spellStart"/>
      <w:r>
        <w:rPr>
          <w:rFonts w:ascii="Times New Roman" w:hAnsi="Times New Roman" w:eastAsia="Times New Roman"/>
          <w:sz w:val="24"/>
        </w:rPr>
        <w:t>clínicas</w:t>
      </w:r>
      <w:proofErr w:type="spellEnd"/>
      <w:r>
        <w:rPr>
          <w:rFonts w:ascii="Times New Roman" w:hAnsi="Times New Roman" w:eastAsia="Times New Roman"/>
          <w:sz w:val="24"/>
        </w:rPr>
        <w:t>. Nesses cenários, pacientes com diferentes mecanismos fisiopatológicos podem compartilhar sintomas iniciais semelhantes, enquanto condições distintas podem produzir alterações laboratoriais parcialmente sobrepostas. Esse contexto ajuda a explicar por que a interpretação de exames laboratoriais ocupa papel central na prática emergencial e por que estratégias capazes de organizar essa heterogeneidade têm relevância clínica e metodológica (Cruz, 2018; Newman-Toker et al., 2022; Lee et al., 2019; Lee et al., 2021).</w:t>
      </w:r>
    </w:p>
    <w:p w14:paraId="6685224E" w14:textId="77777777" w:rsidR="00186176" w:rsidRDefault="00000000">
      <w:pPr>
        <w:spacing w:after="120" w:line="480" w:lineRule="auto"/>
        <w:ind w:firstLine="850"/>
        <w:jc w:val="both"/>
      </w:pPr>
      <w:r>
        <w:rPr>
          <w:rFonts w:ascii="Times New Roman" w:hAnsi="Times New Roman" w:eastAsia="Times New Roman"/>
          <w:sz w:val="24"/>
        </w:rPr>
        <w:t>Na prática cotidiana, hemograma, proteína C reativa, creatinina, ureia e transaminases costumam ser utilizados para responder perguntas clínicas específicas, como presença de inflamação sistêmica, disfunção renal, lesão hepatocelular ou gravidade biológica global. Essa lógica é indispensável à decisão à beira leito, mas tende a privilegiar a leitura de marcadores isolados ou de combinações restritas. Em populações heterogêneas, sobretudo quando os exames refletem simultaneamente eixos inflamatórios, hematológicos, renais e hepáticos, abordagens univariadas podem subestimar estruturas latentes compartilhadas entre pacientes que ainda não se expressam por categorias diagnósticas nítidas (Cruz, 2018; Ma et al., 2020).</w:t>
      </w:r>
    </w:p>
    <w:p w14:paraId="1C8201D9" w14:textId="77777777" w:rsidR="00186176" w:rsidRDefault="00000000">
      <w:pPr>
        <w:spacing w:after="120" w:line="480" w:lineRule="auto"/>
        <w:ind w:firstLine="850"/>
        <w:jc w:val="both"/>
      </w:pPr>
      <w:r>
        <w:rPr>
          <w:rFonts w:ascii="Times New Roman" w:hAnsi="Times New Roman" w:eastAsia="Times New Roman"/>
          <w:sz w:val="24"/>
        </w:rPr>
        <w:lastRenderedPageBreak/>
        <w:t xml:space="preserve">Esse problema se aproxima da agenda contemporânea de </w:t>
      </w:r>
      <w:r w:rsidRPr="00CF3241">
        <w:rPr>
          <w:rFonts w:ascii="Times New Roman" w:hAnsi="Times New Roman" w:eastAsia="Times New Roman"/>
          <w:i/>
          <w:iCs/>
          <w:sz w:val="24"/>
        </w:rPr>
        <w:t>computational phenotyping</w:t>
      </w:r>
      <w:r>
        <w:rPr>
          <w:rFonts w:ascii="Times New Roman" w:hAnsi="Times New Roman" w:eastAsia="Times New Roman"/>
          <w:sz w:val="24"/>
        </w:rPr>
        <w:t>. Em registros eletrônicos de saúde, métodos não supervisionados vêm sendo utilizados para identificar subgrupos latentes a partir de dados clínicos de rotina, com o objetivo de descrever heterogeneidade relevante, refinar estratificação e gerar hipóteses biologicamente plausíveis em síndromes complexas (Becker et al., 2023). Em sepse, Seymour et al. (2019) mostraram que fenótipos derivados de variáveis clínicas usuais diferem em disfunção orgânica, perfil inflamatório e possível resposta terapêutica. Em síndrome do desconforto respiratório agudo, Calfee et al. (2014) demonstraram subfenótipos inflamatórios com desfechos distintos. Em outro exemplo, Papin et al. (2021) identificaram, por clusterização hierárquica, grupos clínico-biológicos de sepse que combinavam idade, comorbidade e padrões de falência orgânica. Em um cenário mais restrito e laboratorial, Nemati et al. (2024) também mostraram que exames de rotina podem separar perfis distintos em pacientes com insuficiência cardíaca crítica.</w:t>
      </w:r>
    </w:p>
    <w:p w14:paraId="428DB0CE" w14:textId="77777777" w:rsidR="00186176" w:rsidRDefault="00000000">
      <w:pPr>
        <w:spacing w:after="120" w:line="480" w:lineRule="auto"/>
        <w:ind w:firstLine="850"/>
        <w:jc w:val="both"/>
      </w:pPr>
      <w:r>
        <w:rPr>
          <w:rFonts w:ascii="Times New Roman" w:hAnsi="Times New Roman" w:eastAsia="Times New Roman"/>
          <w:sz w:val="24"/>
        </w:rPr>
        <w:t>Esses estudos não são diretamente equivalentes ao presente trabalho, mas convergem em um ponto conceitual importante: parte da heterogeneidade clínica parece emergir com maior nitidez quando múltiplas variáveis são integradas simultaneamente, em vez de interpretadas de forma isolada. Em especial, a combinação de marcadores inflamatórios com parâmetros de função renal, atividade hepatocelular e resposta hematológica pode captar estados fisiopatológicos compostos, nos quais inflamação, reserva orgânica e agressão tecidual coexistem em graus variáveis. Nessa perspectiva, a fenotipagem multimarcador não substitui a interpretação clínica convencional; ela a complementa ao explorar se há perfis biológicos recorrentes em dados reais de rotina (Seymour et al., 2019; Calfee et al., 2014; Papin et al., 2021; Rodrigues &amp; Endre, 2023).</w:t>
      </w:r>
    </w:p>
    <w:p w14:paraId="50C4B9E8" w14:textId="77777777" w:rsidR="00186176" w:rsidRDefault="00000000">
      <w:pPr>
        <w:spacing w:after="120" w:line="480" w:lineRule="auto"/>
        <w:ind w:firstLine="850"/>
        <w:jc w:val="both"/>
      </w:pPr>
      <w:r>
        <w:rPr>
          <w:rFonts w:ascii="Times New Roman" w:hAnsi="Times New Roman" w:eastAsia="Times New Roman"/>
          <w:sz w:val="24"/>
        </w:rPr>
        <w:t>Ao mesmo tempo, estudos baseados em dados secundários precisam lidar com limitações conhecidas de qualidade dos dados. Em bases laboratoriais e de prontuário, completude, plausibilidade, padronização de unidades, frequência desigual de solicitação e vieses de documentação podem produzir estrutura espúria ou amplificar diferenças operacionais em vez de biológicas. Por isso, a literatura sobre reutilização de dados reais enfatiza a necessidade de avaliação explícita de qualidade, harmonização pré-analítica e interpretação prudente dos agrupamentos obtidos (Weiskopf &amp; Weng, 2013; Kahn et al., 2016; Lewis et al., 2023; Ban Al-Sahab et al., 2024; Ma et al., 2020).</w:t>
      </w:r>
    </w:p>
    <w:p w14:paraId="261CE8C7" w14:textId="77777777" w:rsidR="00186176" w:rsidRDefault="00000000">
      <w:pPr>
        <w:spacing w:after="120" w:line="480" w:lineRule="auto"/>
        <w:ind w:firstLine="850"/>
        <w:jc w:val="both"/>
      </w:pPr>
      <w:r>
        <w:rPr>
          <w:rFonts w:ascii="Times New Roman" w:hAnsi="Times New Roman" w:eastAsia="Times New Roman"/>
          <w:sz w:val="24"/>
        </w:rPr>
        <w:t>Diante desse cenário, o presente estudo investigou se exames laboratoriais rotineiros obtidos nas primeiras 24 horas de atendimento seriam capazes de identificar perfis clínico-biológicos distintos em uma coorte ampla e heterogênea de atendimentos clínicos. De forma adicional, exploramos como esses perfis se distribuem segundo o contexto assistencial categorizado na base analítica final. O objetivo não foi inferir diagnóstico, causalidade ou utilidade prognóstica imediata, mas examinar a plausibilidade de uma estratégia de fenotipagem laboratorial multimarcador ancorada em dados do mundo real.</w:t>
      </w:r>
    </w:p>
    <w:p w14:paraId="3E1AD88F" w14:textId="77777777" w:rsidR="00186176" w:rsidRDefault="00000000">
      <w:pPr>
        <w:spacing w:after="80"/>
        <w:ind w:firstLine="0"/>
        <w:jc w:val="left"/>
      </w:pPr>
      <w:r>
        <w:rPr>
          <w:rFonts w:ascii="Times New Roman" w:hAnsi="Times New Roman" w:eastAsia="Times New Roman"/>
          <w:sz w:val="24"/>
        </w:rPr>
        <w:t>Metodologia</w:t>
      </w:r>
    </w:p>
    <w:p w14:paraId="26F2BD9E" w14:textId="77777777" w:rsidR="00186176" w:rsidRDefault="00000000">
      <w:pPr>
        <w:spacing w:after="40" w:line="480" w:lineRule="auto"/>
        <w:ind w:firstLine="850"/>
        <w:jc w:val="both"/>
      </w:pPr>
      <w:r>
        <w:rPr>
          <w:rFonts w:ascii="Times New Roman" w:hAnsi="Times New Roman" w:eastAsia="Times New Roman"/>
          <w:b/>
          <w:sz w:val="24"/>
        </w:rPr>
        <w:t>Desenho do estudo e fonte de dados</w:t>
      </w:r>
    </w:p>
    <w:p w14:paraId="49611DCE" w14:textId="77777777" w:rsidR="00186176" w:rsidRDefault="00000000">
      <w:pPr>
        <w:spacing w:after="120" w:line="480" w:lineRule="auto"/>
        <w:ind w:firstLine="850"/>
        <w:jc w:val="both"/>
      </w:pPr>
      <w:r>
        <w:rPr>
          <w:rFonts w:ascii="Times New Roman" w:hAnsi="Times New Roman" w:eastAsia="Times New Roman"/>
          <w:sz w:val="24"/>
        </w:rPr>
        <w:t xml:space="preserve">Foi conduzido um estudo retrospectivo observacional com dados laboratoriais provenientes de sistema institucional de informação laboratorial. A base incluiu registros realizados entre janeiro de </w:t>
      </w:r>
      <w:r>
        <w:rPr>
          <w:rFonts w:ascii="Times New Roman" w:hAnsi="Times New Roman" w:eastAsia="Times New Roman"/>
          <w:sz w:val="24"/>
        </w:rPr>
        <w:lastRenderedPageBreak/>
        <w:t>2022 e dezembro de 2024. Os dados foram previamente anonimizados e analisados em nível de atendimento clínico.</w:t>
      </w:r>
    </w:p>
    <w:p w14:paraId="2DC145A6" w14:textId="77777777" w:rsidR="00186176" w:rsidRDefault="00000000">
      <w:pPr>
        <w:spacing w:after="40" w:line="480" w:lineRule="auto"/>
        <w:ind w:firstLine="850"/>
        <w:jc w:val="both"/>
      </w:pPr>
      <w:r>
        <w:rPr>
          <w:rFonts w:ascii="Times New Roman" w:hAnsi="Times New Roman" w:eastAsia="Times New Roman"/>
          <w:b/>
          <w:sz w:val="24"/>
        </w:rPr>
        <w:t>Definição da unidade analítica</w:t>
      </w:r>
    </w:p>
    <w:p w14:paraId="6A99B4AA" w14:textId="77777777" w:rsidR="00186176" w:rsidRDefault="00000000">
      <w:pPr>
        <w:spacing w:after="120" w:line="480" w:lineRule="auto"/>
        <w:ind w:firstLine="850"/>
        <w:jc w:val="both"/>
      </w:pPr>
      <w:r>
        <w:rPr>
          <w:rFonts w:ascii="Times New Roman" w:hAnsi="Times New Roman" w:eastAsia="Times New Roman"/>
          <w:sz w:val="24"/>
        </w:rPr>
        <w:t>Cada atendimento foi tratado como unidade independente de análise. Quando havia múltiplas coletas dentro da janela inicial, foi selecionado o maior valor observado para cada variável laboratorial nas primeiras 24 horas após a entrada do atendimento, com o objetivo de representar a maior magnitude de alteração naquele período inicial.</w:t>
      </w:r>
    </w:p>
    <w:p w14:paraId="25B4C2EA" w14:textId="77777777" w:rsidR="00186176" w:rsidRDefault="00000000">
      <w:pPr>
        <w:spacing w:after="40" w:line="480" w:lineRule="auto"/>
        <w:ind w:firstLine="850"/>
        <w:jc w:val="both"/>
      </w:pPr>
      <w:r>
        <w:rPr>
          <w:rFonts w:ascii="Times New Roman" w:hAnsi="Times New Roman" w:eastAsia="Times New Roman"/>
          <w:b/>
          <w:sz w:val="24"/>
        </w:rPr>
        <w:t>Variáveis e construção do vetor analítico</w:t>
      </w:r>
    </w:p>
    <w:p w14:paraId="22A646BA" w14:textId="77777777" w:rsidR="00186176" w:rsidRDefault="00000000">
      <w:pPr>
        <w:spacing w:after="120" w:line="480" w:lineRule="auto"/>
        <w:ind w:firstLine="850"/>
        <w:jc w:val="both"/>
      </w:pPr>
      <w:r>
        <w:rPr>
          <w:rFonts w:ascii="Times New Roman" w:hAnsi="Times New Roman" w:eastAsia="Times New Roman"/>
          <w:sz w:val="24"/>
        </w:rPr>
        <w:t>A etapa de construção de atributos partiu de um painel laboratorial mais amplo e, na versão analítica final utilizada para clustering, manteve oito variáveis: leucócitos totais, plaquetas, proteína C reativa, creatinina, ureia, TGO, TGP e idade. Sexo e código da unidade foram preservados para caracterização descritiva e análises estratificadas.</w:t>
      </w:r>
    </w:p>
    <w:p w14:paraId="5FF41E7E" w14:textId="77777777" w:rsidR="00186176" w:rsidRDefault="00000000">
      <w:pPr>
        <w:spacing w:after="40" w:line="480" w:lineRule="auto"/>
        <w:ind w:firstLine="850"/>
        <w:jc w:val="both"/>
      </w:pPr>
      <w:r>
        <w:rPr>
          <w:rFonts w:ascii="Times New Roman" w:hAnsi="Times New Roman" w:eastAsia="Times New Roman"/>
          <w:b/>
          <w:sz w:val="24"/>
        </w:rPr>
        <w:t>Pré-processamento</w:t>
      </w:r>
    </w:p>
    <w:p w14:paraId="3342A835" w14:textId="77777777" w:rsidR="00186176" w:rsidRDefault="00000000">
      <w:pPr>
        <w:spacing w:after="120" w:line="480" w:lineRule="auto"/>
        <w:ind w:firstLine="850"/>
        <w:jc w:val="both"/>
      </w:pPr>
      <w:r>
        <w:rPr>
          <w:rFonts w:ascii="Times New Roman" w:hAnsi="Times New Roman" w:eastAsia="Times New Roman"/>
          <w:sz w:val="24"/>
        </w:rPr>
        <w:t>Os exames foram padronizados quanto à nomenclatura, unidade e representação numérica. Variáveis hematológicas com escalas divergentes entre registros foram harmonizadas previamente. Atendimentos com menos de seis exames disponíveis no painel candidato foram excluídos antes do clustering. Para os biomarcadores laboratoriais, aplicou-se clipping por intervalo interquartil com k=3, seguido de transformação log1p. Os dados faltantes foram imputados por K-nearest neighbors (n_neighbors=5), e o conjunto foi posteriormente submetido à padronização robusta por mediana e IQR. Essas etapas buscaram reduzir a influência de assimetria, outliers e incompletude, problemas frequentes em dados laboratoriais do mundo real (Weiskopf &amp; Weng, 2013; Ma et al., 2020; Lewis et al., 2023).</w:t>
      </w:r>
    </w:p>
    <w:p w14:paraId="1F3BCA54" w14:textId="77777777" w:rsidR="00186176" w:rsidRDefault="00000000">
      <w:pPr>
        <w:spacing w:after="40" w:line="480" w:lineRule="auto"/>
        <w:ind w:firstLine="850"/>
        <w:jc w:val="both"/>
      </w:pPr>
      <w:r>
        <w:rPr>
          <w:rFonts w:ascii="Times New Roman" w:hAnsi="Times New Roman" w:eastAsia="Times New Roman"/>
          <w:b/>
          <w:sz w:val="24"/>
        </w:rPr>
        <w:t>Análise exploratória da coorte</w:t>
      </w:r>
    </w:p>
    <w:p w14:paraId="53CDC085" w14:textId="77777777" w:rsidR="00186176" w:rsidRDefault="00000000">
      <w:pPr>
        <w:spacing w:after="120" w:line="480" w:lineRule="auto"/>
        <w:ind w:firstLine="850"/>
        <w:jc w:val="both"/>
      </w:pPr>
      <w:r>
        <w:t>As variáveis contínuas foram descritas por mediana e intervalo interquartil, e as variáveis categóricas por frequências absolutas e relativas. A coorte foi descrita globalmente e estratificada por sexo. As comparações entre sexos utilizaram o teste de Mann-Whitney para variáveis contínuas e o teste do qui-quadrado de Pearson para variáveis categóricas. Também foi produzido um resumo agregado de completude por variável no conjunto analítico final, com o objetivo de distinguir variáveis amplamente observadas daquelas com maior dependência de imputação.</w:t>
      </w:r>
    </w:p>
    <w:p w14:paraId="175F9D83" w14:textId="77777777" w:rsidR="00186176" w:rsidRDefault="00000000">
      <w:pPr>
        <w:spacing w:after="40" w:line="480" w:lineRule="auto"/>
        <w:ind w:firstLine="850"/>
        <w:jc w:val="both"/>
      </w:pPr>
      <w:r>
        <w:rPr>
          <w:rFonts w:ascii="Times New Roman" w:hAnsi="Times New Roman" w:eastAsia="Times New Roman"/>
          <w:b/>
          <w:sz w:val="24"/>
        </w:rPr>
        <w:t>Clustering e visualização</w:t>
      </w:r>
    </w:p>
    <w:p w14:paraId="4A2A7358" w14:textId="77777777" w:rsidR="00186176" w:rsidRDefault="00000000">
      <w:pPr>
        <w:spacing w:after="120" w:line="480" w:lineRule="auto"/>
        <w:ind w:firstLine="850"/>
        <w:jc w:val="both"/>
      </w:pPr>
      <w:r>
        <w:rPr>
          <w:rFonts w:ascii="Times New Roman" w:hAnsi="Times New Roman" w:eastAsia="Times New Roman"/>
          <w:sz w:val="24"/>
        </w:rPr>
        <w:t>O agrupamento foi realizado por K-means com random_state=42. A seleção do número de clusters considerou a métrica de silhueta para soluções entre dois e seis agrupamentos e a interpretabilidade clínica dos perfis resultantes. A solução final adotou três clusters. Para visualização exploratória, foi utilizada projeção bidimensional por UMAP com n_neighbors=35, min_dist=0,08 e random_state=42. Os eixos do UMAP foram interpretados apenas como representação geométrica da estrutura dos dados, sem significado clínico direto (McInnes et al., 2018).</w:t>
      </w:r>
    </w:p>
    <w:p>
      <w:pPr>
        <w:spacing w:line="480" w:lineRule="auto"/>
        <w:ind w:firstLine="850"/>
        <w:jc w:val="both"/>
      </w:pPr>
      <w:r>
        <w:rPr>
          <w:rFonts w:ascii="Times New Roman" w:hAnsi="Times New Roman" w:eastAsia="Times New Roman"/>
          <w:sz w:val="24"/>
        </w:rPr>
        <w:t>Análises de robustez</w:t>
      </w:r>
    </w:p>
    <w:p>
      <w:pPr>
        <w:spacing w:line="480" w:lineRule="auto"/>
        <w:ind w:firstLine="850"/>
        <w:jc w:val="both"/>
      </w:pPr>
      <w:r>
        <w:rPr>
          <w:rFonts w:ascii="Times New Roman" w:hAnsi="Times New Roman" w:eastAsia="Times New Roman"/>
          <w:sz w:val="24"/>
        </w:rPr>
        <w:t>Foram conduzidas análises adicionais de robustez com finalidade descritiva e de sensibilidade. Primeiro, o clustering foi reexecutado sem a variável idade, preservando as demais etapas de pré-processamento, para avaliar quanto a separação dos grupos dependia da estrutura etária. Segundo, foi realizada uma análise de prevalência restrita ao primeiro atendimento disponível por paciente, comparada à análise baseada em todos os atendimentos, com o objetivo de estimar o impacto potencial de encontros repetidos sobre a composição dos clusters. Terceiro, foi quantificado o efeito do critério de inclusão n_exames &gt;= 6, comparando o número de atendimentos antes e depois do filtro e resumindo a densidade de exames nos encontros candidatos. Essas análises geraram apenas saídas agregadas e foram tratadas como material suplementar de apoio à interpretação, não como redefinição do modelo principal.</w:t>
      </w:r>
    </w:p>
    <w:p w14:paraId="5997DF1E" w14:textId="77777777" w:rsidR="00186176" w:rsidRDefault="00000000">
      <w:pPr>
        <w:spacing w:after="40" w:line="480" w:lineRule="auto"/>
        <w:ind w:firstLine="850"/>
        <w:jc w:val="both"/>
      </w:pPr>
      <w:r>
        <w:rPr>
          <w:rFonts w:ascii="Times New Roman" w:hAnsi="Times New Roman" w:eastAsia="Times New Roman"/>
          <w:b/>
          <w:sz w:val="24"/>
        </w:rPr>
        <w:t>Contexto assistencial e ética</w:t>
      </w:r>
    </w:p>
    <w:p w14:paraId="32576E2C" w14:textId="77777777" w:rsidR="00186176" w:rsidRDefault="00000000">
      <w:pPr>
        <w:spacing w:after="120" w:line="480" w:lineRule="auto"/>
        <w:ind w:firstLine="850"/>
        <w:jc w:val="both"/>
      </w:pPr>
      <w:r>
        <w:rPr>
          <w:rFonts w:ascii="Times New Roman" w:hAnsi="Times New Roman" w:eastAsia="Times New Roman"/>
          <w:sz w:val="24"/>
        </w:rPr>
        <w:t>O contexto assistencial foi derivado do código da unidade e categorizado nos materiais analíticos finais como emergência adulto, emergência pediátrica e ambulatório. A associação entre cluster e contexto assistencial foi avaliada por qui-quadrado e V de Cramér. O estudo utilizou apenas dados secundários anonimizados, sem identificação direta dos pacientes.</w:t>
      </w:r>
    </w:p>
    <w:p w14:paraId="5F2A5384" w14:textId="77777777" w:rsidR="00186176" w:rsidRDefault="00000000">
      <w:pPr>
        <w:spacing w:after="80"/>
        <w:ind w:firstLine="0"/>
        <w:jc w:val="left"/>
      </w:pPr>
      <w:r>
        <w:rPr>
          <w:rFonts w:ascii="Times New Roman" w:hAnsi="Times New Roman" w:eastAsia="Times New Roman"/>
          <w:b/>
          <w:sz w:val="24"/>
        </w:rPr>
        <w:lastRenderedPageBreak/>
        <w:t>Resultados</w:t>
      </w:r>
    </w:p>
    <w:p w14:paraId="75D2DE5E" w14:textId="77777777" w:rsidR="00186176" w:rsidRDefault="00000000">
      <w:pPr>
        <w:spacing w:after="40" w:line="480" w:lineRule="auto"/>
        <w:ind w:firstLine="850"/>
        <w:jc w:val="both"/>
      </w:pPr>
      <w:r>
        <w:rPr>
          <w:rFonts w:ascii="Times New Roman" w:hAnsi="Times New Roman" w:eastAsia="Times New Roman"/>
          <w:b/>
          <w:sz w:val="24"/>
        </w:rPr>
        <w:t>Descrição da amostra</w:t>
      </w:r>
    </w:p>
    <w:p w14:paraId="35A9C02C" w14:textId="77777777" w:rsidR="00186176" w:rsidRDefault="00000000">
      <w:pPr>
        <w:spacing w:after="120" w:line="480" w:lineRule="auto"/>
        <w:ind w:firstLine="850"/>
        <w:jc w:val="both"/>
      </w:pPr>
      <w:r>
        <w:rPr>
          <w:rFonts w:ascii="Times New Roman" w:hAnsi="Times New Roman" w:eastAsia="Times New Roman"/>
          <w:sz w:val="24"/>
        </w:rPr>
        <w:t>Foram incluídos 26.414 atendimentos na análise final. A coorte apresentou mediana de idade de 49,50 anos (IQR 30,50-67,90), com 56,7% de atendimentos do sexo feminino e 43,3% do sexo masculino. Houve heterogeneidade importante entre os analitos, com maior disponibilidade relativa para parâmetros hematológicos e menor completude para alguns marcadores bioquímicos, justificando o uso de imputação multivariada após o filtro mínimo de densidade laboratorial.</w:t>
      </w:r>
    </w:p>
    <w:p w14:paraId="4C3E33C5" w14:textId="77777777" w:rsidR="00186176" w:rsidRDefault="00000000">
      <w:pPr>
        <w:spacing w:after="40" w:line="480" w:lineRule="auto"/>
        <w:ind w:firstLine="850"/>
        <w:jc w:val="both"/>
      </w:pPr>
      <w:r>
        <w:rPr>
          <w:rFonts w:ascii="Times New Roman" w:hAnsi="Times New Roman" w:eastAsia="Times New Roman"/>
          <w:b/>
          <w:sz w:val="24"/>
        </w:rPr>
        <w:t>Tabela 1</w:t>
      </w:r>
    </w:p>
    <w:p w14:paraId="0954F9F7" w14:textId="77777777" w:rsidR="00186176" w:rsidRDefault="00000000">
      <w:pPr>
        <w:spacing w:after="120" w:line="480" w:lineRule="auto"/>
        <w:ind w:firstLine="850"/>
        <w:jc w:val="both"/>
      </w:pPr>
      <w:r>
        <w:rPr>
          <w:rFonts w:ascii="Times New Roman" w:hAnsi="Times New Roman" w:eastAsia="Times New Roman"/>
          <w:sz w:val="24"/>
        </w:rPr>
        <w:t>A Tabela 1 apresenta a caracterização demográfica e laboratorial global, bem como a distribuição por sexo e por fenótipo laboratorial na versão analítica final do estudo.</w:t>
      </w:r>
    </w:p>
    <w:p>
      <w:pPr/>
      <w:r>
        <w:t>Completude das variáveis analíticas</w:t>
      </w:r>
    </w:p>
    <w:p>
      <w:pPr/>
      <w:r>
        <w:t>No conjunto analítico final, os parâmetros hematológicos apresentaram completude muito alta, com observação direta em 99,1% dos atendimentos para leucócitos e 99,1% para plaquetas. Entre os marcadores bioquímicos utilizados no clustering, a creatinina esteve disponível em 90,2% dos atendimentos, a idade em 87,2%, a ureia em 83,2%, a proteína C reativa em 80,9%, a TGO em 80,3% e a TGP em 76,0%. Esses valores indicam que a solução final se apoia majoritariamente em variáveis centrais com boa observação direta, embora parte relevante dos marcadores inflamatórios e hepáticos ainda dependa de imputação em uma fração não desprezível da coorte. O resumo completo de observação e ausência por variável é apresentado na Tabela Suplementar S1.</w:t>
      </w:r>
    </w:p>
    <w:p w14:paraId="1C0633B4" w14:textId="77777777" w:rsidR="00186176" w:rsidRDefault="00000000">
      <w:pPr>
        <w:spacing w:after="40" w:line="480" w:lineRule="auto"/>
        <w:ind w:firstLine="850"/>
        <w:jc w:val="both"/>
      </w:pPr>
      <w:r>
        <w:rPr>
          <w:rFonts w:ascii="Times New Roman" w:hAnsi="Times New Roman" w:eastAsia="Times New Roman"/>
          <w:b/>
          <w:sz w:val="24"/>
        </w:rPr>
        <w:t>Identificação dos fenótipos laboratoriais</w:t>
      </w:r>
    </w:p>
    <w:p w14:paraId="34FA31FF" w14:textId="77777777" w:rsidR="00186176" w:rsidRDefault="00000000">
      <w:pPr>
        <w:spacing w:after="120" w:line="480" w:lineRule="auto"/>
        <w:ind w:firstLine="850"/>
        <w:jc w:val="both"/>
      </w:pPr>
      <w:r>
        <w:rPr>
          <w:rFonts w:ascii="Times New Roman" w:hAnsi="Times New Roman" w:eastAsia="Times New Roman"/>
          <w:sz w:val="24"/>
        </w:rPr>
        <w:t>A análise por K-means indicou que a solução com três agrupamentos ofereceu o melhor equilíbrio entre separação geométrica e interpretabilidade clínica, com silhueta de 0,29. Na versão final dos materiais, os clusters corresponderam a 5.837 atendimentos (22,1%) no fenótipo inflamatório-renal, 5.029 (19,0%) no fenótipo hepático e 15.548 (58,9%) no fenótipo basal.</w:t>
      </w:r>
    </w:p>
    <w:p w14:paraId="7D5CC08D" w14:textId="77777777" w:rsidR="00186176" w:rsidRDefault="00000000">
      <w:pPr>
        <w:spacing w:after="40" w:line="480" w:lineRule="auto"/>
        <w:ind w:firstLine="850"/>
        <w:jc w:val="both"/>
      </w:pPr>
      <w:r>
        <w:rPr>
          <w:rFonts w:ascii="Times New Roman" w:hAnsi="Times New Roman" w:eastAsia="Times New Roman"/>
          <w:b/>
          <w:sz w:val="24"/>
        </w:rPr>
        <w:t>Caracterização dos clusters</w:t>
      </w:r>
    </w:p>
    <w:p w14:paraId="6A53D4E9" w14:textId="77777777" w:rsidR="00186176" w:rsidRDefault="00000000">
      <w:pPr>
        <w:spacing w:after="120" w:line="480" w:lineRule="auto"/>
        <w:ind w:firstLine="850"/>
        <w:jc w:val="both"/>
      </w:pPr>
      <w:r>
        <w:t>Os três agrupamentos apresentaram perfis distintos e clinicamente plausíveis. Em escala laboratorial original (Tabela 2), o fenótipo inflamatório-renal exibiu maior idade mediana (70,8 anos), creatinina (1,44), ureia (63,24) e proteína C reativa (28,87), além de leucócitos relativamente elevados (9590). O fenótipo hepático concentrou as maiores medianas de TGO (62,2) e TGP (52,6), acompanhadas de menores contagens de leucócitos (4665) e plaquetas (139000). O fenótipo basal reuniu a maior parcela da amostra, com idade mais baixa (40,6 anos), menor creatinina (0,78), ureia (29,44) e transaminases mais discretas, além de plaquetas relativamente mais altas (258000). Em conjunto, esses achados sugerem um gradiente entre maior disfunção inflamatório-renal, maior sinal hepatocelular e um perfil laboratorial globalmente menos perturbado.</w:t>
      </w:r>
    </w:p>
    <w:p w14:paraId="2D1BD9DE" w14:textId="77777777" w:rsidR="00186176" w:rsidRDefault="00000000">
      <w:pPr>
        <w:spacing w:after="40" w:line="480" w:lineRule="auto"/>
        <w:ind w:firstLine="850"/>
        <w:jc w:val="both"/>
      </w:pPr>
      <w:r>
        <w:rPr>
          <w:rFonts w:ascii="Times New Roman" w:hAnsi="Times New Roman" w:eastAsia="Times New Roman"/>
          <w:b/>
          <w:sz w:val="24"/>
        </w:rPr>
        <w:t>Distribuição por sexo</w:t>
      </w:r>
    </w:p>
    <w:p w14:paraId="2081F0B8" w14:textId="77777777" w:rsidR="00186176" w:rsidRDefault="00000000">
      <w:pPr>
        <w:spacing w:after="120" w:line="480" w:lineRule="auto"/>
        <w:ind w:firstLine="850"/>
        <w:jc w:val="both"/>
      </w:pPr>
      <w:r>
        <w:t>A distribuição por sexo não foi uniforme entre os clusters. O fenótipo inflamatório-renal mostrou maior participação relativa de homens (3.236 de 5.837 atendimentos; aproximadamente 55,4%), enquanto o fenótipo basal concentrou maior participação relativa de mulheres (9.707 de 15.548 atendimentos; aproximadamente 62,4%). O fenótipo hepático apresentou distribuição intermediária entre os sexos. Esse padrão sugere que a heterogeneidade laboratorial capturada pelo modelo não se distribui de forma aleatória entre homens e mulheres, reforçando a possibilidade de interação entre carga inflamatória, função renal, idade e composição biológica da coorte.</w:t>
      </w:r>
    </w:p>
    <w:p w14:paraId="33FC78DE" w14:textId="77777777" w:rsidR="00186176" w:rsidRDefault="00000000">
      <w:pPr>
        <w:spacing w:after="40" w:line="480" w:lineRule="auto"/>
        <w:ind w:firstLine="850"/>
        <w:jc w:val="both"/>
      </w:pPr>
      <w:r>
        <w:rPr>
          <w:rFonts w:ascii="Times New Roman" w:hAnsi="Times New Roman" w:eastAsia="Times New Roman"/>
          <w:b/>
          <w:sz w:val="24"/>
        </w:rPr>
        <w:t>Visualização em baixa dimensionalidade</w:t>
      </w:r>
    </w:p>
    <w:p w14:paraId="77B5B510" w14:textId="77777777" w:rsidR="00186176" w:rsidRDefault="00000000">
      <w:pPr>
        <w:spacing w:after="120" w:line="480" w:lineRule="auto"/>
        <w:ind w:firstLine="850"/>
        <w:jc w:val="both"/>
      </w:pPr>
      <w:r>
        <w:rPr>
          <w:rFonts w:ascii="Times New Roman" w:hAnsi="Times New Roman" w:eastAsia="Times New Roman"/>
          <w:sz w:val="24"/>
        </w:rPr>
        <w:t>A projeção por UMAP demonstrou separação parcial entre os três grupos, com sobreposição relevante entre regiões adjacentes (Figura 1). O fenótipo basal ocupou a região mais extensa e densa da projeção, ao passo que os fenótipos inflamatório-renal e hepático se distribuíram em áreas mais periféricas. Esse padrão é compatível com heterogeneidade clínica contínua, e não com fronteiras rígidas entre estados fisiopatológicos.</w:t>
      </w:r>
    </w:p>
    <w:p w14:paraId="10F00D8B" w14:textId="77777777" w:rsidR="00186176" w:rsidRDefault="00000000">
      <w:pPr>
        <w:spacing w:after="40" w:line="480" w:lineRule="auto"/>
        <w:ind w:firstLine="850"/>
        <w:jc w:val="both"/>
      </w:pPr>
      <w:r>
        <w:rPr>
          <w:rFonts w:ascii="Times New Roman" w:hAnsi="Times New Roman" w:eastAsia="Times New Roman"/>
          <w:b/>
          <w:sz w:val="24"/>
        </w:rPr>
        <w:t>Associação com contexto assistencial</w:t>
      </w:r>
    </w:p>
    <w:p w14:paraId="6444422B" w14:textId="77777777" w:rsidR="00186176" w:rsidRDefault="00000000">
      <w:pPr>
        <w:spacing w:after="120" w:line="480" w:lineRule="auto"/>
        <w:ind w:firstLine="850"/>
        <w:jc w:val="both"/>
      </w:pPr>
      <w:r>
        <w:rPr>
          <w:rFonts w:ascii="Times New Roman" w:hAnsi="Times New Roman" w:eastAsia="Times New Roman"/>
          <w:sz w:val="24"/>
        </w:rPr>
        <w:t xml:space="preserve">A distribuição dos clusters variou segundo o contexto assistencial categorizado na versão analítica final. A associação foi estatisticamente significativa (qui-quadrado=108,3; p&lt;0,001), porém com tamanho de efeito pequeno (V de Cramér=0,052), indicando relação fraca entre as categorias de contexto assistencial e os perfis laboratoriais identificados. Por esse motivo, essa análise deve ser </w:t>
      </w:r>
      <w:r>
        <w:rPr>
          <w:rFonts w:ascii="Times New Roman" w:hAnsi="Times New Roman" w:eastAsia="Times New Roman"/>
          <w:sz w:val="24"/>
        </w:rPr>
        <w:lastRenderedPageBreak/>
        <w:t>interpretada como descritiva e exploratória, e não como evidência de independência entre essas dimensões.</w:t>
      </w:r>
    </w:p>
    <w:p>
      <w:pPr/>
      <w:r>
        <w:t>Em análise exploratória adicional com tabelas categóricas agregadas, o fenótipo basal permaneceu o grupo mais frequente, representando 58,86% dos atendimentos do conjunto final. A associação entre sexo e cluster apresentou magnitude pequena a moderada (V de Cramér=0,149), enquanto a associação entre faixa etária e cluster foi mais evidente (V de Cramér=0,301), reforçando o papel estrutural da idade na organização dos perfis. Em contraste, a associação entre contexto assistencial e cluster permaneceu fraca (V de Cramér=0,052). As tabelas completas de distribuição por sexo, faixa etária e contexto assistencial são apresentadas como material suplementar.</w:t>
      </w:r>
    </w:p>
    <w:p>
      <w:pPr>
        <w:spacing w:line="480" w:lineRule="auto"/>
        <w:ind w:firstLine="850"/>
        <w:jc w:val="both"/>
      </w:pPr>
      <w:r>
        <w:rPr>
          <w:rFonts w:ascii="Times New Roman" w:hAnsi="Times New Roman" w:eastAsia="Times New Roman"/>
          <w:sz w:val="24"/>
        </w:rPr>
        <w:t>Análises de robustez</w:t>
      </w:r>
    </w:p>
    <w:p>
      <w:pPr>
        <w:spacing w:line="480" w:lineRule="auto"/>
        <w:ind w:firstLine="850"/>
        <w:jc w:val="both"/>
      </w:pPr>
      <w:r>
        <w:rPr>
          <w:rFonts w:ascii="Times New Roman" w:hAnsi="Times New Roman" w:eastAsia="Times New Roman"/>
          <w:sz w:val="24"/>
        </w:rPr>
        <w:t>Nas análises de sensibilidade, a retirada da variável idade reduziu a silhueta da solução de três clusters de aproximadamente 0,29 para 0,2427, indicando contribuição relevante da estrutura etária para a separação geométrica. Ainda assim, o agrupamento inflamatório-renal permaneceu identificável sem idade, preservando o padrão relativo de maior PCR, creatinina e ureia em comparação aos demais grupos. A análise restrita ao primeiro atendimento por paciente mostrou mudança de prevalência entre os fenótipos, com aumento do fenótipo basal de 58,9% na análise por todos os atendimentos para 63,9% na análise por primeiro atendimento, acompanhado de redução relativa dos fenótipos inflamatório-renal e hepático. Além disso, o critério n_exames &gt;= 6 reteve 34,2% dos atendimentos candidatos, caracterizando a coorte analítica como um subconjunto com maior densidade laboratorial. As tabelas detalhadas da análise sem idade, da comparação entre todos os atendimentos versus primeiro atendimento e da distribuição de intensidade de testagem são apresentadas no material suplementar.</w:t>
      </w:r>
    </w:p>
    <w:p w14:paraId="29AB6010" w14:textId="77777777" w:rsidR="00186176" w:rsidRDefault="00000000">
      <w:pPr>
        <w:spacing w:after="80"/>
        <w:ind w:firstLine="0"/>
      </w:pPr>
      <w:r>
        <w:rPr>
          <w:rFonts w:ascii="Times New Roman" w:hAnsi="Times New Roman" w:eastAsia="Times New Roman"/>
          <w:i/>
          <w:sz w:val="24"/>
        </w:rPr>
        <w:t>Tabela 1. Características demográficas e laboratoriais da coorte estratificadas por sexo</w:t>
      </w:r>
    </w:p>
    <w:tbl>
      <w:tblPr>
        <w:tblStyle w:val="Tabelacomgrade"/>
        <w:tblW w:w="0" w:type="auto"/>
        <w:tblLook w:val="04A0" w:firstRow="1" w:lastRow="0" w:firstColumn="1" w:lastColumn="0" w:noHBand="0" w:noVBand="1"/>
      </w:tblPr>
      <w:tblGrid>
        <w:gridCol w:w="1930"/>
        <w:gridCol w:w="1930"/>
        <w:gridCol w:w="1930"/>
        <w:gridCol w:w="1930"/>
        <w:gridCol w:w="1930"/>
      </w:tblGrid>
      <w:tr w:rsidR="00186176" w14:paraId="3211279A" w14:textId="77777777">
        <w:tc>
          <w:tcPr>
            <w:tcW w:w="1930" w:type="dxa"/>
            <w:shd w:val="clear" w:color="auto" w:fill="D9D9D9"/>
          </w:tcPr>
          <w:p w14:paraId="2E9103A1" w14:textId="77777777" w:rsidR="00186176" w:rsidRDefault="00000000">
            <w:r>
              <w:rPr>
                <w:b/>
              </w:rPr>
              <w:t>Característica</w:t>
            </w:r>
          </w:p>
        </w:tc>
        <w:tc>
          <w:tcPr>
            <w:tcW w:w="1930" w:type="dxa"/>
            <w:shd w:val="clear" w:color="auto" w:fill="D9D9D9"/>
          </w:tcPr>
          <w:p w14:paraId="0C450BB6" w14:textId="77777777" w:rsidR="00186176" w:rsidRDefault="00000000">
            <w:r>
              <w:rPr>
                <w:b/>
              </w:rPr>
              <w:t>Total</w:t>
            </w:r>
          </w:p>
        </w:tc>
        <w:tc>
          <w:tcPr>
            <w:tcW w:w="1930" w:type="dxa"/>
            <w:shd w:val="clear" w:color="auto" w:fill="D9D9D9"/>
          </w:tcPr>
          <w:p w14:paraId="4FDEFEE3" w14:textId="77777777" w:rsidR="00186176" w:rsidRDefault="00000000">
            <w:r>
              <w:rPr>
                <w:b/>
              </w:rPr>
              <w:t>Feminino</w:t>
            </w:r>
          </w:p>
        </w:tc>
        <w:tc>
          <w:tcPr>
            <w:tcW w:w="1930" w:type="dxa"/>
            <w:shd w:val="clear" w:color="auto" w:fill="D9D9D9"/>
          </w:tcPr>
          <w:p w14:paraId="38E52607" w14:textId="77777777" w:rsidR="00186176" w:rsidRDefault="00000000">
            <w:r>
              <w:rPr>
                <w:b/>
              </w:rPr>
              <w:t>Masculino</w:t>
            </w:r>
          </w:p>
        </w:tc>
        <w:tc>
          <w:tcPr>
            <w:tcW w:w="1930" w:type="dxa"/>
            <w:shd w:val="clear" w:color="auto" w:fill="D9D9D9"/>
          </w:tcPr>
          <w:p w14:paraId="49F0B308" w14:textId="77777777" w:rsidR="00186176" w:rsidRDefault="00000000">
            <w:r>
              <w:rPr>
                <w:b/>
              </w:rPr>
              <w:t>p</w:t>
            </w:r>
          </w:p>
        </w:tc>
      </w:tr>
      <w:tr w:rsidR="00186176" w14:paraId="4E3F0EE7" w14:textId="77777777">
        <w:tc>
          <w:tcPr>
            <w:tcW w:w="1930" w:type="dxa"/>
            <w:shd w:val="clear" w:color="auto" w:fill="F2F2F2"/>
          </w:tcPr>
          <w:p w14:paraId="572915C9" w14:textId="77777777" w:rsidR="00186176" w:rsidRDefault="00000000">
            <w:r>
              <w:rPr>
                <w:b/>
              </w:rPr>
              <w:t>Características gerais</w:t>
            </w:r>
          </w:p>
        </w:tc>
        <w:tc>
          <w:tcPr>
            <w:tcW w:w="1930" w:type="dxa"/>
            <w:shd w:val="clear" w:color="auto" w:fill="F2F2F2"/>
          </w:tcPr>
          <w:p w14:paraId="5E35ADDD" w14:textId="77777777" w:rsidR="00186176" w:rsidRDefault="00186176"/>
        </w:tc>
        <w:tc>
          <w:tcPr>
            <w:tcW w:w="1930" w:type="dxa"/>
            <w:shd w:val="clear" w:color="auto" w:fill="F2F2F2"/>
          </w:tcPr>
          <w:p w14:paraId="4C5BDC10" w14:textId="77777777" w:rsidR="00186176" w:rsidRDefault="00186176"/>
        </w:tc>
        <w:tc>
          <w:tcPr>
            <w:tcW w:w="1930" w:type="dxa"/>
            <w:shd w:val="clear" w:color="auto" w:fill="F2F2F2"/>
          </w:tcPr>
          <w:p w14:paraId="7B163769" w14:textId="77777777" w:rsidR="00186176" w:rsidRDefault="00186176"/>
        </w:tc>
        <w:tc>
          <w:tcPr>
            <w:tcW w:w="1930" w:type="dxa"/>
            <w:shd w:val="clear" w:color="auto" w:fill="F2F2F2"/>
          </w:tcPr>
          <w:p w14:paraId="1E58C30A" w14:textId="77777777" w:rsidR="00186176" w:rsidRDefault="00186176"/>
        </w:tc>
      </w:tr>
      <w:tr w:rsidR="00186176" w14:paraId="5DEDCEDD" w14:textId="77777777">
        <w:tc>
          <w:tcPr>
            <w:tcW w:w="1930" w:type="dxa"/>
          </w:tcPr>
          <w:p w14:paraId="642B9D91" w14:textId="77777777" w:rsidR="00186176" w:rsidRDefault="00000000">
            <w:r>
              <w:t>Atendimentos, n</w:t>
            </w:r>
          </w:p>
        </w:tc>
        <w:tc>
          <w:tcPr>
            <w:tcW w:w="1930" w:type="dxa"/>
          </w:tcPr>
          <w:p w14:paraId="7848A1DC" w14:textId="77777777" w:rsidR="00186176" w:rsidRDefault="00000000">
            <w:r>
              <w:t>26414</w:t>
            </w:r>
          </w:p>
        </w:tc>
        <w:tc>
          <w:tcPr>
            <w:tcW w:w="1930" w:type="dxa"/>
          </w:tcPr>
          <w:p w14:paraId="15765B21" w14:textId="77777777" w:rsidR="00186176" w:rsidRDefault="00000000">
            <w:r>
              <w:t>14966</w:t>
            </w:r>
          </w:p>
        </w:tc>
        <w:tc>
          <w:tcPr>
            <w:tcW w:w="1930" w:type="dxa"/>
          </w:tcPr>
          <w:p w14:paraId="7892AB2B" w14:textId="77777777" w:rsidR="00186176" w:rsidRDefault="00000000">
            <w:r>
              <w:t>11448</w:t>
            </w:r>
          </w:p>
        </w:tc>
        <w:tc>
          <w:tcPr>
            <w:tcW w:w="1930" w:type="dxa"/>
          </w:tcPr>
          <w:p w14:paraId="2DBD9AF1" w14:textId="77777777" w:rsidR="00186176" w:rsidRDefault="00186176"/>
        </w:tc>
      </w:tr>
      <w:tr w:rsidR="00186176" w14:paraId="63F25C55" w14:textId="77777777">
        <w:tc>
          <w:tcPr>
            <w:tcW w:w="1930" w:type="dxa"/>
          </w:tcPr>
          <w:p w14:paraId="0725E0C9" w14:textId="77777777" w:rsidR="00186176" w:rsidRDefault="00000000">
            <w:r>
              <w:t>Idade, mediana (IQR)</w:t>
            </w:r>
          </w:p>
        </w:tc>
        <w:tc>
          <w:tcPr>
            <w:tcW w:w="1930" w:type="dxa"/>
          </w:tcPr>
          <w:p w14:paraId="532D3318" w14:textId="77777777" w:rsidR="00186176" w:rsidRDefault="00000000">
            <w:r>
              <w:t>49.50 (30.50-67.90)</w:t>
            </w:r>
          </w:p>
        </w:tc>
        <w:tc>
          <w:tcPr>
            <w:tcW w:w="1930" w:type="dxa"/>
          </w:tcPr>
          <w:p w14:paraId="080E02C7" w14:textId="77777777" w:rsidR="00186176" w:rsidRDefault="00000000">
            <w:r>
              <w:t>48.90 (30.30-68.20)</w:t>
            </w:r>
          </w:p>
        </w:tc>
        <w:tc>
          <w:tcPr>
            <w:tcW w:w="1930" w:type="dxa"/>
          </w:tcPr>
          <w:p w14:paraId="1C8D44B7" w14:textId="77777777" w:rsidR="00186176" w:rsidRDefault="00000000">
            <w:r>
              <w:t>50.30 (31.00-67.60)</w:t>
            </w:r>
          </w:p>
        </w:tc>
        <w:tc>
          <w:tcPr>
            <w:tcW w:w="1930" w:type="dxa"/>
          </w:tcPr>
          <w:p w14:paraId="7291F1B3" w14:textId="77777777" w:rsidR="00186176" w:rsidRDefault="00000000">
            <w:r>
              <w:t>0.819</w:t>
            </w:r>
          </w:p>
        </w:tc>
      </w:tr>
      <w:tr w:rsidR="00186176" w14:paraId="278498E2" w14:textId="77777777">
        <w:tc>
          <w:tcPr>
            <w:tcW w:w="1930" w:type="dxa"/>
            <w:shd w:val="clear" w:color="auto" w:fill="F2F2F2"/>
          </w:tcPr>
          <w:p w14:paraId="63CD0FE7" w14:textId="77777777" w:rsidR="00186176" w:rsidRDefault="00000000">
            <w:r>
              <w:rPr>
                <w:b/>
              </w:rPr>
              <w:t>Distribuição por faixa etária</w:t>
            </w:r>
          </w:p>
        </w:tc>
        <w:tc>
          <w:tcPr>
            <w:tcW w:w="1930" w:type="dxa"/>
            <w:shd w:val="clear" w:color="auto" w:fill="F2F2F2"/>
          </w:tcPr>
          <w:p w14:paraId="4CE807C1" w14:textId="77777777" w:rsidR="00186176" w:rsidRDefault="00186176"/>
        </w:tc>
        <w:tc>
          <w:tcPr>
            <w:tcW w:w="1930" w:type="dxa"/>
            <w:shd w:val="clear" w:color="auto" w:fill="F2F2F2"/>
          </w:tcPr>
          <w:p w14:paraId="7C7E5419" w14:textId="77777777" w:rsidR="00186176" w:rsidRDefault="00186176"/>
        </w:tc>
        <w:tc>
          <w:tcPr>
            <w:tcW w:w="1930" w:type="dxa"/>
            <w:shd w:val="clear" w:color="auto" w:fill="F2F2F2"/>
          </w:tcPr>
          <w:p w14:paraId="156D2CE2" w14:textId="77777777" w:rsidR="00186176" w:rsidRDefault="00186176"/>
        </w:tc>
        <w:tc>
          <w:tcPr>
            <w:tcW w:w="1930" w:type="dxa"/>
            <w:shd w:val="clear" w:color="auto" w:fill="F2F2F2"/>
          </w:tcPr>
          <w:p w14:paraId="185F9FDD" w14:textId="77777777" w:rsidR="00186176" w:rsidRDefault="00186176"/>
        </w:tc>
      </w:tr>
      <w:tr w:rsidR="00186176" w14:paraId="5F6847C8" w14:textId="77777777">
        <w:tc>
          <w:tcPr>
            <w:tcW w:w="1930" w:type="dxa"/>
          </w:tcPr>
          <w:p w14:paraId="24E9E767" w14:textId="77777777" w:rsidR="00186176" w:rsidRDefault="00000000">
            <w:r>
              <w:t>&lt;18 anos, n (%)</w:t>
            </w:r>
          </w:p>
        </w:tc>
        <w:tc>
          <w:tcPr>
            <w:tcW w:w="1930" w:type="dxa"/>
          </w:tcPr>
          <w:p w14:paraId="3C5F10F7" w14:textId="77777777" w:rsidR="00186176" w:rsidRDefault="00000000">
            <w:r>
              <w:t>1837 (8.0%)</w:t>
            </w:r>
          </w:p>
        </w:tc>
        <w:tc>
          <w:tcPr>
            <w:tcW w:w="1930" w:type="dxa"/>
          </w:tcPr>
          <w:p w14:paraId="261AB690" w14:textId="77777777" w:rsidR="00186176" w:rsidRDefault="00000000">
            <w:r>
              <w:t>950 (7.3%)</w:t>
            </w:r>
          </w:p>
        </w:tc>
        <w:tc>
          <w:tcPr>
            <w:tcW w:w="1930" w:type="dxa"/>
          </w:tcPr>
          <w:p w14:paraId="69DA7C31" w14:textId="77777777" w:rsidR="00186176" w:rsidRDefault="00000000">
            <w:r>
              <w:t>887 (8.9%)</w:t>
            </w:r>
          </w:p>
        </w:tc>
        <w:tc>
          <w:tcPr>
            <w:tcW w:w="1930" w:type="dxa"/>
          </w:tcPr>
          <w:p w14:paraId="7DDB4162" w14:textId="77777777" w:rsidR="00186176" w:rsidRDefault="00000000">
            <w:r>
              <w:t>&lt;0.001</w:t>
            </w:r>
          </w:p>
        </w:tc>
      </w:tr>
      <w:tr w:rsidR="00186176" w14:paraId="14019E04" w14:textId="77777777">
        <w:tc>
          <w:tcPr>
            <w:tcW w:w="1930" w:type="dxa"/>
          </w:tcPr>
          <w:p w14:paraId="3E96B52C" w14:textId="77777777" w:rsidR="00186176" w:rsidRDefault="00000000">
            <w:r>
              <w:t>18-39 anos, n (%)</w:t>
            </w:r>
          </w:p>
        </w:tc>
        <w:tc>
          <w:tcPr>
            <w:tcW w:w="1930" w:type="dxa"/>
          </w:tcPr>
          <w:p w14:paraId="36B139F1" w14:textId="77777777" w:rsidR="00186176" w:rsidRDefault="00000000">
            <w:r>
              <w:t>6786 (29.5%)</w:t>
            </w:r>
          </w:p>
        </w:tc>
        <w:tc>
          <w:tcPr>
            <w:tcW w:w="1930" w:type="dxa"/>
          </w:tcPr>
          <w:p w14:paraId="4808AE0A" w14:textId="77777777" w:rsidR="00186176" w:rsidRDefault="00000000">
            <w:r>
              <w:t>4009 (30.8%)</w:t>
            </w:r>
          </w:p>
        </w:tc>
        <w:tc>
          <w:tcPr>
            <w:tcW w:w="1930" w:type="dxa"/>
          </w:tcPr>
          <w:p w14:paraId="10098728" w14:textId="77777777" w:rsidR="00186176" w:rsidRDefault="00000000">
            <w:r>
              <w:t>2777 (27.8%)</w:t>
            </w:r>
          </w:p>
        </w:tc>
        <w:tc>
          <w:tcPr>
            <w:tcW w:w="1930" w:type="dxa"/>
          </w:tcPr>
          <w:p w14:paraId="5892D4FC" w14:textId="77777777" w:rsidR="00186176" w:rsidRDefault="00186176"/>
        </w:tc>
      </w:tr>
      <w:tr w:rsidR="00186176" w14:paraId="0CE573F7" w14:textId="77777777">
        <w:tc>
          <w:tcPr>
            <w:tcW w:w="1930" w:type="dxa"/>
          </w:tcPr>
          <w:p w14:paraId="1D17CA75" w14:textId="77777777" w:rsidR="00186176" w:rsidRDefault="00000000">
            <w:r>
              <w:t>40-59 anos, n (%)</w:t>
            </w:r>
          </w:p>
        </w:tc>
        <w:tc>
          <w:tcPr>
            <w:tcW w:w="1930" w:type="dxa"/>
          </w:tcPr>
          <w:p w14:paraId="34BEBD87" w14:textId="77777777" w:rsidR="00186176" w:rsidRDefault="00000000">
            <w:r>
              <w:t>5966 (25.9%)</w:t>
            </w:r>
          </w:p>
        </w:tc>
        <w:tc>
          <w:tcPr>
            <w:tcW w:w="1930" w:type="dxa"/>
          </w:tcPr>
          <w:p w14:paraId="1479A16A" w14:textId="77777777" w:rsidR="00186176" w:rsidRDefault="00000000">
            <w:r>
              <w:t>3359 (25.8%)</w:t>
            </w:r>
          </w:p>
        </w:tc>
        <w:tc>
          <w:tcPr>
            <w:tcW w:w="1930" w:type="dxa"/>
          </w:tcPr>
          <w:p w14:paraId="193209EC" w14:textId="77777777" w:rsidR="00186176" w:rsidRDefault="00000000">
            <w:r>
              <w:t>2607 (26.1%)</w:t>
            </w:r>
          </w:p>
        </w:tc>
        <w:tc>
          <w:tcPr>
            <w:tcW w:w="1930" w:type="dxa"/>
          </w:tcPr>
          <w:p w14:paraId="2FB34EDE" w14:textId="77777777" w:rsidR="00186176" w:rsidRDefault="00186176"/>
        </w:tc>
      </w:tr>
      <w:tr w:rsidR="00186176" w14:paraId="2040B760" w14:textId="77777777">
        <w:tc>
          <w:tcPr>
            <w:tcW w:w="1930" w:type="dxa"/>
          </w:tcPr>
          <w:p w14:paraId="599E91FC" w14:textId="77777777" w:rsidR="00186176" w:rsidRDefault="00000000">
            <w:r>
              <w:t>≥60 anos, n (%)</w:t>
            </w:r>
          </w:p>
        </w:tc>
        <w:tc>
          <w:tcPr>
            <w:tcW w:w="1930" w:type="dxa"/>
          </w:tcPr>
          <w:p w14:paraId="335366C9" w14:textId="77777777" w:rsidR="00186176" w:rsidRDefault="00000000">
            <w:r>
              <w:t>8430 (36.6%)</w:t>
            </w:r>
          </w:p>
        </w:tc>
        <w:tc>
          <w:tcPr>
            <w:tcW w:w="1930" w:type="dxa"/>
          </w:tcPr>
          <w:p w14:paraId="219AF8A0" w14:textId="77777777" w:rsidR="00186176" w:rsidRDefault="00000000">
            <w:r>
              <w:t>4713 (36.2%)</w:t>
            </w:r>
          </w:p>
        </w:tc>
        <w:tc>
          <w:tcPr>
            <w:tcW w:w="1930" w:type="dxa"/>
          </w:tcPr>
          <w:p w14:paraId="5140D02A" w14:textId="77777777" w:rsidR="00186176" w:rsidRDefault="00000000">
            <w:r>
              <w:t>3717 (37.2%)</w:t>
            </w:r>
          </w:p>
        </w:tc>
        <w:tc>
          <w:tcPr>
            <w:tcW w:w="1930" w:type="dxa"/>
          </w:tcPr>
          <w:p w14:paraId="3E7EC462" w14:textId="77777777" w:rsidR="00186176" w:rsidRDefault="00186176"/>
        </w:tc>
      </w:tr>
      <w:tr w:rsidR="00186176" w14:paraId="72358BC4" w14:textId="77777777">
        <w:tc>
          <w:tcPr>
            <w:tcW w:w="1930" w:type="dxa"/>
            <w:shd w:val="clear" w:color="auto" w:fill="F2F2F2"/>
          </w:tcPr>
          <w:p w14:paraId="6DC79432" w14:textId="77777777" w:rsidR="00186176" w:rsidRDefault="00000000">
            <w:r>
              <w:rPr>
                <w:b/>
              </w:rPr>
              <w:t>Exames laboratoriais</w:t>
            </w:r>
          </w:p>
        </w:tc>
        <w:tc>
          <w:tcPr>
            <w:tcW w:w="1930" w:type="dxa"/>
            <w:shd w:val="clear" w:color="auto" w:fill="F2F2F2"/>
          </w:tcPr>
          <w:p w14:paraId="1C8D3675" w14:textId="77777777" w:rsidR="00186176" w:rsidRDefault="00186176"/>
        </w:tc>
        <w:tc>
          <w:tcPr>
            <w:tcW w:w="1930" w:type="dxa"/>
            <w:shd w:val="clear" w:color="auto" w:fill="F2F2F2"/>
          </w:tcPr>
          <w:p w14:paraId="706ED661" w14:textId="77777777" w:rsidR="00186176" w:rsidRDefault="00186176"/>
        </w:tc>
        <w:tc>
          <w:tcPr>
            <w:tcW w:w="1930" w:type="dxa"/>
            <w:shd w:val="clear" w:color="auto" w:fill="F2F2F2"/>
          </w:tcPr>
          <w:p w14:paraId="67234A10" w14:textId="77777777" w:rsidR="00186176" w:rsidRDefault="00186176"/>
        </w:tc>
        <w:tc>
          <w:tcPr>
            <w:tcW w:w="1930" w:type="dxa"/>
            <w:shd w:val="clear" w:color="auto" w:fill="F2F2F2"/>
          </w:tcPr>
          <w:p w14:paraId="4FDD2732" w14:textId="77777777" w:rsidR="00186176" w:rsidRDefault="00186176"/>
        </w:tc>
      </w:tr>
      <w:tr w:rsidR="00186176" w14:paraId="701F4CC8" w14:textId="77777777">
        <w:tc>
          <w:tcPr>
            <w:tcW w:w="1930" w:type="dxa"/>
          </w:tcPr>
          <w:p w14:paraId="0B3FDFE8" w14:textId="77777777" w:rsidR="00186176" w:rsidRDefault="00000000">
            <w:r>
              <w:t>Leucócitos, mediana (IQR)</w:t>
            </w:r>
          </w:p>
        </w:tc>
        <w:tc>
          <w:tcPr>
            <w:tcW w:w="1930" w:type="dxa"/>
          </w:tcPr>
          <w:p w14:paraId="2C7D8AF1" w14:textId="77777777" w:rsidR="00186176" w:rsidRDefault="00000000">
            <w:r>
              <w:t>8380.00 (5940.00-11350.00)</w:t>
            </w:r>
          </w:p>
        </w:tc>
        <w:tc>
          <w:tcPr>
            <w:tcW w:w="1930" w:type="dxa"/>
          </w:tcPr>
          <w:p w14:paraId="67481A36" w14:textId="77777777" w:rsidR="00186176" w:rsidRDefault="00000000">
            <w:r>
              <w:t>8350.00 (5910.00-11240.00)</w:t>
            </w:r>
          </w:p>
        </w:tc>
        <w:tc>
          <w:tcPr>
            <w:tcW w:w="1930" w:type="dxa"/>
          </w:tcPr>
          <w:p w14:paraId="54228194" w14:textId="77777777" w:rsidR="00186176" w:rsidRDefault="00000000">
            <w:r>
              <w:t>8420.00 (5960.00-11490.00)</w:t>
            </w:r>
          </w:p>
        </w:tc>
        <w:tc>
          <w:tcPr>
            <w:tcW w:w="1930" w:type="dxa"/>
          </w:tcPr>
          <w:p w14:paraId="4AD1DD30" w14:textId="77777777" w:rsidR="00186176" w:rsidRDefault="00000000">
            <w:r>
              <w:t>0.003</w:t>
            </w:r>
          </w:p>
        </w:tc>
      </w:tr>
      <w:tr w:rsidR="00186176" w14:paraId="5F703F6F" w14:textId="77777777">
        <w:tc>
          <w:tcPr>
            <w:tcW w:w="1930" w:type="dxa"/>
          </w:tcPr>
          <w:p w14:paraId="7BD18665" w14:textId="77777777" w:rsidR="00186176" w:rsidRDefault="00000000">
            <w:r>
              <w:t>Plaquetas, mediana (IQR)</w:t>
            </w:r>
          </w:p>
        </w:tc>
        <w:tc>
          <w:tcPr>
            <w:tcW w:w="1930" w:type="dxa"/>
          </w:tcPr>
          <w:p w14:paraId="301DC68E" w14:textId="77777777" w:rsidR="00186176" w:rsidRDefault="00000000">
            <w:r>
              <w:t>232000.00 (175000.00-293000.00)</w:t>
            </w:r>
          </w:p>
        </w:tc>
        <w:tc>
          <w:tcPr>
            <w:tcW w:w="1930" w:type="dxa"/>
          </w:tcPr>
          <w:p w14:paraId="015704CA" w14:textId="77777777" w:rsidR="00186176" w:rsidRDefault="00000000">
            <w:r>
              <w:t>243000.00 (185000.00-302000.00)</w:t>
            </w:r>
          </w:p>
        </w:tc>
        <w:tc>
          <w:tcPr>
            <w:tcW w:w="1930" w:type="dxa"/>
          </w:tcPr>
          <w:p w14:paraId="025F6CA3" w14:textId="77777777" w:rsidR="00186176" w:rsidRDefault="00000000">
            <w:r>
              <w:t>220000.00 (163000.00-279000.00)</w:t>
            </w:r>
          </w:p>
        </w:tc>
        <w:tc>
          <w:tcPr>
            <w:tcW w:w="1930" w:type="dxa"/>
          </w:tcPr>
          <w:p w14:paraId="21D765FC" w14:textId="77777777" w:rsidR="00186176" w:rsidRDefault="00000000">
            <w:r>
              <w:t>&lt;0.001</w:t>
            </w:r>
          </w:p>
        </w:tc>
      </w:tr>
      <w:tr w:rsidR="00186176" w14:paraId="2438E0B6" w14:textId="77777777">
        <w:tc>
          <w:tcPr>
            <w:tcW w:w="1930" w:type="dxa"/>
          </w:tcPr>
          <w:p w14:paraId="703E706E" w14:textId="77777777" w:rsidR="00186176" w:rsidRDefault="00000000">
            <w:r>
              <w:t>Proteína C reativa, mediana (IQR)</w:t>
            </w:r>
          </w:p>
        </w:tc>
        <w:tc>
          <w:tcPr>
            <w:tcW w:w="1930" w:type="dxa"/>
          </w:tcPr>
          <w:p w14:paraId="266C3229" w14:textId="77777777" w:rsidR="00186176" w:rsidRDefault="00000000">
            <w:r>
              <w:t>10.82 (2.79-43.74)</w:t>
            </w:r>
          </w:p>
        </w:tc>
        <w:tc>
          <w:tcPr>
            <w:tcW w:w="1930" w:type="dxa"/>
          </w:tcPr>
          <w:p w14:paraId="1FCD0EA9" w14:textId="77777777" w:rsidR="00186176" w:rsidRDefault="00000000">
            <w:r>
              <w:t>10.18 (2.77-38.86)</w:t>
            </w:r>
          </w:p>
        </w:tc>
        <w:tc>
          <w:tcPr>
            <w:tcW w:w="1930" w:type="dxa"/>
          </w:tcPr>
          <w:p w14:paraId="18B832FA" w14:textId="77777777" w:rsidR="00186176" w:rsidRDefault="00000000">
            <w:r>
              <w:t>11.72 (2.82-51.47)</w:t>
            </w:r>
          </w:p>
        </w:tc>
        <w:tc>
          <w:tcPr>
            <w:tcW w:w="1930" w:type="dxa"/>
          </w:tcPr>
          <w:p w14:paraId="6D886288" w14:textId="77777777" w:rsidR="00186176" w:rsidRDefault="00000000">
            <w:r>
              <w:t>&lt;0.001</w:t>
            </w:r>
          </w:p>
        </w:tc>
      </w:tr>
      <w:tr w:rsidR="00186176" w14:paraId="5E0B4CEB" w14:textId="77777777">
        <w:tc>
          <w:tcPr>
            <w:tcW w:w="1930" w:type="dxa"/>
          </w:tcPr>
          <w:p w14:paraId="35116FC6" w14:textId="77777777" w:rsidR="00186176" w:rsidRDefault="00000000">
            <w:r>
              <w:t>Creatinina, mediana (IQR)</w:t>
            </w:r>
          </w:p>
        </w:tc>
        <w:tc>
          <w:tcPr>
            <w:tcW w:w="1930" w:type="dxa"/>
          </w:tcPr>
          <w:p w14:paraId="78F9C79B" w14:textId="77777777" w:rsidR="00186176" w:rsidRDefault="00000000">
            <w:r>
              <w:t>0.87 (0.70-1.11)</w:t>
            </w:r>
          </w:p>
        </w:tc>
        <w:tc>
          <w:tcPr>
            <w:tcW w:w="1930" w:type="dxa"/>
          </w:tcPr>
          <w:p w14:paraId="216B8CDB" w14:textId="77777777" w:rsidR="00186176" w:rsidRDefault="00000000">
            <w:r>
              <w:t>0.77 (0.65-0.97)</w:t>
            </w:r>
          </w:p>
        </w:tc>
        <w:tc>
          <w:tcPr>
            <w:tcW w:w="1930" w:type="dxa"/>
          </w:tcPr>
          <w:p w14:paraId="360777AA" w14:textId="77777777" w:rsidR="00186176" w:rsidRDefault="00000000">
            <w:r>
              <w:t>1.01 (0.84-1.23)</w:t>
            </w:r>
          </w:p>
        </w:tc>
        <w:tc>
          <w:tcPr>
            <w:tcW w:w="1930" w:type="dxa"/>
          </w:tcPr>
          <w:p w14:paraId="578680E2" w14:textId="77777777" w:rsidR="00186176" w:rsidRDefault="00000000">
            <w:r>
              <w:t>&lt;0.001</w:t>
            </w:r>
          </w:p>
        </w:tc>
      </w:tr>
      <w:tr w:rsidR="00186176" w14:paraId="3692CA3B" w14:textId="77777777">
        <w:tc>
          <w:tcPr>
            <w:tcW w:w="1930" w:type="dxa"/>
          </w:tcPr>
          <w:p w14:paraId="7292C602" w14:textId="77777777" w:rsidR="00186176" w:rsidRDefault="00000000">
            <w:r>
              <w:t>Ureia, mediana (IQR)</w:t>
            </w:r>
          </w:p>
        </w:tc>
        <w:tc>
          <w:tcPr>
            <w:tcW w:w="1930" w:type="dxa"/>
          </w:tcPr>
          <w:p w14:paraId="03C3377C" w14:textId="77777777" w:rsidR="00186176" w:rsidRDefault="00000000">
            <w:r>
              <w:t>33.00 (24.75-45.83)</w:t>
            </w:r>
          </w:p>
        </w:tc>
        <w:tc>
          <w:tcPr>
            <w:tcW w:w="1930" w:type="dxa"/>
          </w:tcPr>
          <w:p w14:paraId="73345427" w14:textId="77777777" w:rsidR="00186176" w:rsidRDefault="00000000">
            <w:r>
              <w:t>30.55 (22.89-42.64)</w:t>
            </w:r>
          </w:p>
        </w:tc>
        <w:tc>
          <w:tcPr>
            <w:tcW w:w="1930" w:type="dxa"/>
          </w:tcPr>
          <w:p w14:paraId="398D60A4" w14:textId="77777777" w:rsidR="00186176" w:rsidRDefault="00000000">
            <w:r>
              <w:t>36.32 (27.69-49.11)</w:t>
            </w:r>
          </w:p>
        </w:tc>
        <w:tc>
          <w:tcPr>
            <w:tcW w:w="1930" w:type="dxa"/>
          </w:tcPr>
          <w:p w14:paraId="7FC152CF" w14:textId="77777777" w:rsidR="00186176" w:rsidRDefault="00000000">
            <w:r>
              <w:t>&lt;0.001</w:t>
            </w:r>
          </w:p>
        </w:tc>
      </w:tr>
      <w:tr w:rsidR="00186176" w14:paraId="70982EA5" w14:textId="77777777">
        <w:tc>
          <w:tcPr>
            <w:tcW w:w="1930" w:type="dxa"/>
          </w:tcPr>
          <w:p w14:paraId="38651D04" w14:textId="77777777" w:rsidR="00186176" w:rsidRDefault="00000000">
            <w:r>
              <w:t>AST/TGO, mediana (IQR)</w:t>
            </w:r>
          </w:p>
        </w:tc>
        <w:tc>
          <w:tcPr>
            <w:tcW w:w="1930" w:type="dxa"/>
          </w:tcPr>
          <w:p w14:paraId="1A16E54B" w14:textId="77777777" w:rsidR="00186176" w:rsidRDefault="00000000">
            <w:r>
              <w:t>27.00 (19.00-39.50)</w:t>
            </w:r>
          </w:p>
        </w:tc>
        <w:tc>
          <w:tcPr>
            <w:tcW w:w="1930" w:type="dxa"/>
          </w:tcPr>
          <w:p w14:paraId="7B67229E" w14:textId="77777777" w:rsidR="00186176" w:rsidRDefault="00000000">
            <w:r>
              <w:t>26.80 (17.70-36.90)</w:t>
            </w:r>
          </w:p>
        </w:tc>
        <w:tc>
          <w:tcPr>
            <w:tcW w:w="1930" w:type="dxa"/>
          </w:tcPr>
          <w:p w14:paraId="3EA80654" w14:textId="77777777" w:rsidR="00186176" w:rsidRDefault="00000000">
            <w:r>
              <w:t>28.10 (21.00-42.70)</w:t>
            </w:r>
          </w:p>
        </w:tc>
        <w:tc>
          <w:tcPr>
            <w:tcW w:w="1930" w:type="dxa"/>
          </w:tcPr>
          <w:p w14:paraId="4F0792D1" w14:textId="77777777" w:rsidR="00186176" w:rsidRDefault="00000000">
            <w:r>
              <w:t>&lt;0.001</w:t>
            </w:r>
          </w:p>
        </w:tc>
      </w:tr>
      <w:tr w:rsidR="00186176" w14:paraId="4F211115" w14:textId="77777777">
        <w:tc>
          <w:tcPr>
            <w:tcW w:w="1930" w:type="dxa"/>
          </w:tcPr>
          <w:p w14:paraId="19425E2A" w14:textId="77777777" w:rsidR="00186176" w:rsidRDefault="00000000">
            <w:r>
              <w:t>ALT/TGP, mediana (IQR)</w:t>
            </w:r>
          </w:p>
        </w:tc>
        <w:tc>
          <w:tcPr>
            <w:tcW w:w="1930" w:type="dxa"/>
          </w:tcPr>
          <w:p w14:paraId="22232C3B" w14:textId="77777777" w:rsidR="00186176" w:rsidRDefault="00000000">
            <w:r>
              <w:t>20.30 (13.80-34.60)</w:t>
            </w:r>
          </w:p>
        </w:tc>
        <w:tc>
          <w:tcPr>
            <w:tcW w:w="1930" w:type="dxa"/>
          </w:tcPr>
          <w:p w14:paraId="3A648509" w14:textId="77777777" w:rsidR="00186176" w:rsidRDefault="00000000">
            <w:r>
              <w:t>18.30 (12.80-30.90)</w:t>
            </w:r>
          </w:p>
        </w:tc>
        <w:tc>
          <w:tcPr>
            <w:tcW w:w="1930" w:type="dxa"/>
          </w:tcPr>
          <w:p w14:paraId="3D508D8D" w14:textId="77777777" w:rsidR="00186176" w:rsidRDefault="00000000">
            <w:r>
              <w:t>23.00 (15.50-38.80)</w:t>
            </w:r>
          </w:p>
        </w:tc>
        <w:tc>
          <w:tcPr>
            <w:tcW w:w="1930" w:type="dxa"/>
          </w:tcPr>
          <w:p w14:paraId="5653278C" w14:textId="77777777" w:rsidR="00186176" w:rsidRDefault="00000000">
            <w:r>
              <w:t>&lt;0.001</w:t>
            </w:r>
          </w:p>
        </w:tc>
      </w:tr>
      <w:tr w:rsidR="00186176" w14:paraId="3C9A9490" w14:textId="77777777">
        <w:tc>
          <w:tcPr>
            <w:tcW w:w="1930" w:type="dxa"/>
            <w:shd w:val="clear" w:color="auto" w:fill="F2F2F2"/>
          </w:tcPr>
          <w:p w14:paraId="429929B2" w14:textId="77777777" w:rsidR="00186176" w:rsidRDefault="00000000">
            <w:r>
              <w:rPr>
                <w:b/>
              </w:rPr>
              <w:t>Distribuição dos fenótipos laboratoriais</w:t>
            </w:r>
          </w:p>
        </w:tc>
        <w:tc>
          <w:tcPr>
            <w:tcW w:w="1930" w:type="dxa"/>
            <w:shd w:val="clear" w:color="auto" w:fill="F2F2F2"/>
          </w:tcPr>
          <w:p w14:paraId="08E16E0E" w14:textId="77777777" w:rsidR="00186176" w:rsidRDefault="00186176"/>
        </w:tc>
        <w:tc>
          <w:tcPr>
            <w:tcW w:w="1930" w:type="dxa"/>
            <w:shd w:val="clear" w:color="auto" w:fill="F2F2F2"/>
          </w:tcPr>
          <w:p w14:paraId="4B47C123" w14:textId="77777777" w:rsidR="00186176" w:rsidRDefault="00186176"/>
        </w:tc>
        <w:tc>
          <w:tcPr>
            <w:tcW w:w="1930" w:type="dxa"/>
            <w:shd w:val="clear" w:color="auto" w:fill="F2F2F2"/>
          </w:tcPr>
          <w:p w14:paraId="1AC94272" w14:textId="77777777" w:rsidR="00186176" w:rsidRDefault="00186176"/>
        </w:tc>
        <w:tc>
          <w:tcPr>
            <w:tcW w:w="1930" w:type="dxa"/>
            <w:shd w:val="clear" w:color="auto" w:fill="F2F2F2"/>
          </w:tcPr>
          <w:p w14:paraId="3606C404" w14:textId="77777777" w:rsidR="00186176" w:rsidRDefault="00186176"/>
        </w:tc>
      </w:tr>
      <w:tr w:rsidR="00186176" w14:paraId="3A8DA7F5" w14:textId="77777777">
        <w:tc>
          <w:tcPr>
            <w:tcW w:w="1930" w:type="dxa"/>
          </w:tcPr>
          <w:p w14:paraId="11421A41" w14:textId="77777777" w:rsidR="00186176" w:rsidRDefault="00000000">
            <w:r>
              <w:t>Fenótipo inflamatório-renal, n (%)</w:t>
            </w:r>
          </w:p>
        </w:tc>
        <w:tc>
          <w:tcPr>
            <w:tcW w:w="1930" w:type="dxa"/>
          </w:tcPr>
          <w:p w14:paraId="2FF5DD19" w14:textId="77777777" w:rsidR="00186176" w:rsidRDefault="00000000">
            <w:r>
              <w:t>5837 (22.1%)</w:t>
            </w:r>
          </w:p>
        </w:tc>
        <w:tc>
          <w:tcPr>
            <w:tcW w:w="1930" w:type="dxa"/>
          </w:tcPr>
          <w:p w14:paraId="062FC561" w14:textId="77777777" w:rsidR="00186176" w:rsidRDefault="00000000">
            <w:r>
              <w:t>2601 (17.4%)</w:t>
            </w:r>
          </w:p>
        </w:tc>
        <w:tc>
          <w:tcPr>
            <w:tcW w:w="1930" w:type="dxa"/>
          </w:tcPr>
          <w:p w14:paraId="71B3BDAD" w14:textId="77777777" w:rsidR="00186176" w:rsidRDefault="00000000">
            <w:r>
              <w:t>3236 (28.3%)</w:t>
            </w:r>
          </w:p>
        </w:tc>
        <w:tc>
          <w:tcPr>
            <w:tcW w:w="1930" w:type="dxa"/>
          </w:tcPr>
          <w:p w14:paraId="178092D5" w14:textId="77777777" w:rsidR="00186176" w:rsidRDefault="00000000">
            <w:r>
              <w:t>&lt;0.001</w:t>
            </w:r>
          </w:p>
        </w:tc>
      </w:tr>
      <w:tr w:rsidR="00186176" w14:paraId="75AB53A6" w14:textId="77777777">
        <w:tc>
          <w:tcPr>
            <w:tcW w:w="1930" w:type="dxa"/>
          </w:tcPr>
          <w:p w14:paraId="67712CC8" w14:textId="77777777" w:rsidR="00186176" w:rsidRDefault="00000000">
            <w:r>
              <w:t>Fenótipo hepático, n (%)</w:t>
            </w:r>
          </w:p>
        </w:tc>
        <w:tc>
          <w:tcPr>
            <w:tcW w:w="1930" w:type="dxa"/>
          </w:tcPr>
          <w:p w14:paraId="7BCFD922" w14:textId="77777777" w:rsidR="00186176" w:rsidRDefault="00000000">
            <w:r>
              <w:t>5029 (19.0%)</w:t>
            </w:r>
          </w:p>
        </w:tc>
        <w:tc>
          <w:tcPr>
            <w:tcW w:w="1930" w:type="dxa"/>
          </w:tcPr>
          <w:p w14:paraId="6FC9DD71" w14:textId="77777777" w:rsidR="00186176" w:rsidRDefault="00000000">
            <w:r>
              <w:t>2658 (17.8%)</w:t>
            </w:r>
          </w:p>
        </w:tc>
        <w:tc>
          <w:tcPr>
            <w:tcW w:w="1930" w:type="dxa"/>
          </w:tcPr>
          <w:p w14:paraId="2E412E10" w14:textId="77777777" w:rsidR="00186176" w:rsidRDefault="00000000">
            <w:r>
              <w:t>2371 (20.7%)</w:t>
            </w:r>
          </w:p>
        </w:tc>
        <w:tc>
          <w:tcPr>
            <w:tcW w:w="1930" w:type="dxa"/>
          </w:tcPr>
          <w:p w14:paraId="1590F8F4" w14:textId="77777777" w:rsidR="00186176" w:rsidRDefault="00186176"/>
        </w:tc>
      </w:tr>
      <w:tr w:rsidR="00186176" w14:paraId="5A756D17" w14:textId="77777777">
        <w:tc>
          <w:tcPr>
            <w:tcW w:w="1930" w:type="dxa"/>
          </w:tcPr>
          <w:p w14:paraId="48B4EB2F" w14:textId="77777777" w:rsidR="00186176" w:rsidRDefault="00000000">
            <w:r>
              <w:t>Fenótipo basal, n (%)</w:t>
            </w:r>
          </w:p>
        </w:tc>
        <w:tc>
          <w:tcPr>
            <w:tcW w:w="1930" w:type="dxa"/>
          </w:tcPr>
          <w:p w14:paraId="5FAF48DB" w14:textId="77777777" w:rsidR="00186176" w:rsidRDefault="00000000">
            <w:r>
              <w:t>15548 (58.9%)</w:t>
            </w:r>
          </w:p>
        </w:tc>
        <w:tc>
          <w:tcPr>
            <w:tcW w:w="1930" w:type="dxa"/>
          </w:tcPr>
          <w:p w14:paraId="628AF124" w14:textId="77777777" w:rsidR="00186176" w:rsidRDefault="00000000">
            <w:r>
              <w:t>9707 (64.9%)</w:t>
            </w:r>
          </w:p>
        </w:tc>
        <w:tc>
          <w:tcPr>
            <w:tcW w:w="1930" w:type="dxa"/>
          </w:tcPr>
          <w:p w14:paraId="0751EE63" w14:textId="77777777" w:rsidR="00186176" w:rsidRDefault="00000000">
            <w:r>
              <w:t>5841 (51.0%)</w:t>
            </w:r>
          </w:p>
        </w:tc>
        <w:tc>
          <w:tcPr>
            <w:tcW w:w="1930" w:type="dxa"/>
          </w:tcPr>
          <w:p w14:paraId="6D330C8D" w14:textId="77777777" w:rsidR="00186176" w:rsidRDefault="00186176"/>
        </w:tc>
      </w:tr>
    </w:tbl>
    <w:p w14:paraId="65E6EC89" w14:textId="77777777" w:rsidR="00186176" w:rsidRDefault="00000000">
      <w:pPr>
        <w:ind w:firstLine="0"/>
      </w:pPr>
      <w:r>
        <w:rPr>
          <w:rFonts w:ascii="Times New Roman" w:hAnsi="Times New Roman" w:eastAsia="Times New Roman"/>
          <w:i/>
          <w:sz w:val="24"/>
        </w:rPr>
        <w:lastRenderedPageBreak/>
        <w:t>Dados apresentados como mediana (intervalo interquartil) ou n (%). p calculado por teste de Mann-Whitney para variáveis contínuas e qui-quadrado para variáveis categóricas.</w:t>
      </w:r>
    </w:p>
    <w:p w14:paraId="670D3429" w14:textId="77777777" w:rsidR="00186176" w:rsidRDefault="00000000">
      <w:pPr>
        <w:spacing w:after="80"/>
        <w:ind w:firstLine="0"/>
      </w:pPr>
      <w:r>
        <w:rPr>
          <w:rFonts w:ascii="Times New Roman" w:hAnsi="Times New Roman" w:eastAsia="Times New Roman"/>
          <w:i/>
          <w:sz w:val="24"/>
        </w:rPr>
        <w:t>Figura 1. Projeção UMAP dos fenótipos laboratoriais identificados por K-means</w:t>
      </w:r>
    </w:p>
    <w:p w14:paraId="0096F46C" w14:textId="77777777" w:rsidR="00186176" w:rsidRDefault="00000000">
      <w:pPr>
        <w:spacing w:line="480" w:lineRule="auto"/>
        <w:ind w:firstLine="850"/>
        <w:jc w:val="both"/>
      </w:pPr>
      <w:r>
        <w:rPr>
          <w:rFonts w:ascii="Times New Roman" w:hAnsi="Times New Roman" w:eastAsia="Times New Roman"/>
          <w:noProof/>
          <w:sz w:val="24"/>
        </w:rPr>
        <w:drawing>
          <wp:inline distT="0" distB="0" distL="0" distR="0" wp14:anchorId="56ABFD95" wp14:editId="1F2C1BA7">
            <wp:extent cx="5852160" cy="46817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umap_clusters_paper_ready.png"/>
                    <pic:cNvPicPr/>
                  </pic:nvPicPr>
                  <pic:blipFill>
                    <a:blip r:embed="rId6"/>
                    <a:stretch>
                      <a:fillRect/>
                    </a:stretch>
                  </pic:blipFill>
                  <pic:spPr>
                    <a:xfrm>
                      <a:off x="0" y="0"/>
                      <a:ext cx="5852160" cy="4681728"/>
                    </a:xfrm>
                    <a:prstGeom prst="rect">
                      <a:avLst/>
                    </a:prstGeom>
                  </pic:spPr>
                </pic:pic>
              </a:graphicData>
            </a:graphic>
          </wp:inline>
        </w:drawing>
      </w:r>
    </w:p>
    <w:p w14:paraId="3A2B7973" w14:textId="77777777" w:rsidR="00186176" w:rsidRDefault="00000000">
      <w:pPr>
        <w:ind w:firstLine="0"/>
      </w:pPr>
      <w:r>
        <w:rPr>
          <w:rFonts w:ascii="Times New Roman" w:hAnsi="Times New Roman" w:eastAsia="Times New Roman"/>
          <w:i/>
          <w:sz w:val="24"/>
        </w:rPr>
        <w:t>Figura 1. Projeção bidimensional por UMAP do espaço latente derivado das oito variáveis utilizadas no clustering. A figura ilustra separação parcial entre os três grupos e sobreposição relevante entre regiões adjacentes, reforçando o caráter contínuo da heterogeneidade clínica observada. Os eixos do UMAP não possuem interpretação clínica direta.</w:t>
      </w:r>
    </w:p>
    <w:p w14:paraId="30DEFCAF" w14:textId="77777777" w:rsidR="00186176" w:rsidRDefault="00000000">
      <w:pPr>
        <w:spacing w:after="80"/>
        <w:ind w:firstLine="0"/>
        <w:jc w:val="left"/>
      </w:pPr>
      <w:r>
        <w:rPr>
          <w:rFonts w:ascii="Times New Roman" w:hAnsi="Times New Roman" w:eastAsia="Times New Roman"/>
          <w:b/>
          <w:sz w:val="24"/>
        </w:rPr>
        <w:t>Discussão</w:t>
      </w:r>
    </w:p>
    <w:p>
      <w:pPr>
        <w:spacing w:line="480" w:lineRule="auto"/>
        <w:ind w:firstLine="850"/>
        <w:jc w:val="both"/>
      </w:pPr>
      <w:r>
        <w:rPr>
          <w:rFonts w:ascii="Times New Roman" w:hAnsi="Times New Roman" w:eastAsia="Times New Roman"/>
          <w:sz w:val="24"/>
        </w:rPr>
        <w:t>O principal achado deste estudo foi a identificação de três perfis laboratoriais exploratórios e clinicamente plausíveis em uma coorte real de atendimentos analisados em nível de encontro clínico. Em termos observacionais, a solução final revelou um agrupamento inflamatório-renal, um agrupamento hepático e um agrupamento basal, com distribuição desigual entre os sexos, separação apenas parcial na projeção UMAP e associação fraca com o contexto assistencial categorizado. À luz das análises de robustez, esses resultados devem ser interpretados como fenotipagem laboratorial multimarcador em uma coorte selecionada por densidade de exames, e não como definição de subgrupos clínicos estáveis ou generalizáveis a toda a população de emergência. Nessa perspectiva, o estudo se situa na interface entre laboratório clínico, análise exploratória em saúde e informática em saúde aplicada.</w:t>
      </w:r>
    </w:p>
    <w:p>
      <w:pPr>
        <w:spacing w:line="480" w:lineRule="auto"/>
        <w:ind w:firstLine="850"/>
        <w:jc w:val="both"/>
      </w:pPr>
      <w:r>
        <w:t>A análise sem a variável idade acrescenta um ponto importante à interpretação biológica dos achados. A redução da silhueta de aproximadamente 0,29 para 0,2427 mostra que a estrutura etária contribui de modo relevante para a separação geométrica dos grupos. Ainda assim, o fenótipo inflamatório-renal permaneceu identificável sem idade, preservando o padrão relativo de maior PCR, creatinina e ureia. Em termos práticos, isso sugere que a idade participa da organização do espaço latente, mas não explica sozinha o agrupamento. Esse comportamento é coerente com a literatura de fenótipos agudos, na qual envelhecimento, inflamação e disfunção orgânica frequentemente se sobrepõem sem serem equivalentes entre si (Seymour et al., 2019; Rodrigues &amp; Endre, 2023). As análises categóricas finais reforçam essa leitura. A associação entre faixa etária e cluster apresentou magnitude mais evidente (V de Cramér=0,301) do que a associação entre sexo e cluster (V de Cramér=0,149) ou entre contexto assistencial e cluster (V de Cramér=0,052). Em conjunto, esses resultados sustentam a interpretação de que a idade é uma dimensão estrutural importante da solução, mas não a única, já que o gradiente inflamatório-renal persiste após sua retirada e os perfis mantêm coerência laboratorial em escala original.</w:t>
      </w:r>
    </w:p>
    <w:p>
      <w:pPr>
        <w:spacing w:line="480" w:lineRule="auto"/>
        <w:ind w:firstLine="850"/>
        <w:jc w:val="both"/>
      </w:pPr>
      <w:r>
        <w:rPr>
          <w:rFonts w:ascii="Times New Roman" w:hAnsi="Times New Roman" w:eastAsia="Times New Roman"/>
          <w:sz w:val="24"/>
        </w:rPr>
        <w:t>A plausibilidade biológica do fenótipo inflamatório-renal permanece, portanto, um dos pontos mais fortes do estudo. O acoplamento entre proteína C reativa elevada, pior função renal e maior idade é compatível com estados em que inflamação sistêmica, vulnerabilidade basal e disfunção orgânica coexistem. Na literatura de fenotipagem de sepse, Seymour et al. (2019) descreveram fenótipos com maior carga inflamatória e renal, enquanto trabalhos sobre subfenótipos de lesão renal aguda destacam que trajetórias renais clinicamente relevantes costumam emergir em interface com inflamação e instabilidade sistêmica, e não como fenômenos exclusivamente nefrológicos (Rodrigues &amp; Endre, 2023). Nosso agrupamento não reproduz diretamente essas entidades, mas permanece biologicamente coerente como fenótipo laboratorial exploratório.</w:t>
      </w:r>
    </w:p>
    <w:p>
      <w:pPr>
        <w:spacing w:line="480" w:lineRule="auto"/>
        <w:ind w:firstLine="850"/>
        <w:jc w:val="both"/>
      </w:pPr>
      <w:r>
        <w:t>Um aspecto adicional que merece maior destaque é a redistribuição dos clusters por sexo. O enriquecimento masculino no fenótipo inflamatório-renal e o predomínio feminino no fenótipo basal sugerem que a estrutura latente observada não é apenas geométrica, mas também acompanha diferenças biológicas e clínicas da coorte. Como o estudo não foi desenhado para inferência causal e não incorpora ajuste multivariável, esse achado deve permanecer descritivo. Ainda assim, ele fortalece a interpretação de que os perfis capturam combinações biologicamente relevantes de inflamação, função renal, idade e resposta hematológica, em vez de simples particionamentos artificiais.</w:t>
      </w:r>
    </w:p>
    <w:p>
      <w:pPr/>
      <w:r>
        <w:t>O fenótipo hepático também conserva plausibilidade, embora com maior incerteza interpretativa. A elevação relativa de TGO e TGP associada a menores contagens de leucócitos e plaquetas sugere um eixo de agressão hepatocelular ou estresse sistêmico não basal, possivelmente acompanhado de maior consumo inflamatório ou menor reserva hematológica. Há paralelos conceituais com trabalhos de clusterização em sepse e doença crítica, nos quais padrões de disfunção orgânica ajudam a estruturar grupos distintos (Seymour et al., 2019; Papin et al., 2021). Ainda assim, a ausência de marcadores complementares, como bilirrubinas, albumina, coagulograma, lactato e variáveis hemodinâmicas, limita a interpretação clínica desse agrupamento. Por isso, o fenótipo hepático deve ser entendido como um padrão laboratorial recorrente e biologicamente plausível, porém ainda incompletamente resolvido do ponto de vista fisiopatológico.</w:t>
      </w:r>
    </w:p>
    <w:p>
      <w:pPr>
        <w:spacing w:line="480" w:lineRule="auto"/>
        <w:ind w:firstLine="850"/>
        <w:jc w:val="both"/>
      </w:pPr>
      <w:r>
        <w:t>O fenótipo basal, por sua vez, concentrou a maior parcela da amostra tanto na análise principal quanto nas análises de sensibilidade. Em escala original, esse grupo reuniu pacientes mais jovens, com menor creatinina, ureia e transaminases, além de contagens plaquetárias relativamente mais elevadas. Esse conjunto sugere um perfil laboratorial globalmente menos perturbado, e não apenas um cluster residual por oposição aos demais. Quando a prevalência foi recalculada considerando apenas o primeiro atendimento disponível por paciente, a frequência desse grupo aumentou de 58,9% para 63,9%, com redução relativa dos fenótipos inflamatório-renal e hepático. Esse resultado é relevante porque mostra que encontros repetidos não alteram apenas um detalhe operacional: eles influenciam a composição aparente dos clusters. A interpretação mais conservadora é que recorrência de atendimentos pode enriquecer desproporcionalmente os fenótipos mais alterados, seja por maior complexidade clínica, maior necessidade de monitorização ou ambos. As comparações em unidades originais também ajudam a qualificar melhor o contraste entre o fenótipo inflamatório-renal e o fenótipo basal. Em termos de medianas, o agrupamento inflamatório-renal apresentou PCR aproximadamente 3,6 vezes maior, creatinina cerca de 1,85 vez maior e ureia aproximadamente 2,15 vezes maior do que o fenótipo basal. Esses contrastes reforçam que a distinção principal do agrupamento inflamatório-renal não depende apenas de projeções padronizadas, mas já se manifesta de forma clinicamente inteligível na escala laboratorial usual.</w:t>
      </w:r>
    </w:p>
    <w:p>
      <w:pPr>
        <w:spacing w:line="480" w:lineRule="auto"/>
        <w:ind w:firstLine="850"/>
        <w:jc w:val="both"/>
      </w:pPr>
      <w:r>
        <w:rPr>
          <w:rFonts w:ascii="Times New Roman" w:hAnsi="Times New Roman" w:eastAsia="Times New Roman"/>
          <w:sz w:val="24"/>
        </w:rPr>
        <w:t>Esse ponto reforça que o presente estudo é, antes de tudo, uma análise baseada em atendimentos, e não em pacientes únicos. Em bases secundárias de saúde, recorrência de encontros é um problema metodológico clássico, pois pode inflar padrões associados a maior utilização do sistema e misturar heterogeneidade biológica com heterogeneidade de trajetória assistencial (Weiskopf &amp; Weng, 2013; Kahn et al., 2016; Lewis et al., 2023). A análise por primeiro atendimento mostrou que a estrutura qualitativa dos fenótipos permanece utilizável, mas que as estimativas de prevalência devem ser lidas como prevalência por encontro clínico. Essa distinção deve ser explicitada para evitar leitura indevida em termos de frequência patient-level.</w:t>
      </w:r>
    </w:p>
    <w:p>
      <w:pPr>
        <w:spacing w:line="480" w:lineRule="auto"/>
        <w:ind w:firstLine="850"/>
        <w:jc w:val="both"/>
      </w:pPr>
      <w:r>
        <w:rPr>
          <w:rFonts w:ascii="Times New Roman" w:hAnsi="Times New Roman" w:eastAsia="Times New Roman"/>
          <w:sz w:val="24"/>
        </w:rPr>
        <w:t>Outro aspecto central trazido pelas análises de robustez é o efeito do critério n_exames &gt;= 6. Como apenas 34,2% dos atendimentos candidatos permaneceram após esse filtro, a coorte analítica final representa um subconjunto com maior densidade laboratorial, e não o espectro completo de encontros agudos ou de baixa complexidade. Essa observação não invalida a proposta de fenotipagem; ao contrário, ajuda a defini-la com mais precisão. O estudo descreve fenótipos multimarcadores em uma população suficientemente testada para sustentar integração laboratorial, mas não permite inferir que a mesma estrutura se reproduza com a mesma nitidez em atendimentos com menor intensidade de solicitação de exames.</w:t>
      </w:r>
    </w:p>
    <w:p>
      <w:pPr>
        <w:spacing w:line="480" w:lineRule="auto"/>
        <w:ind w:firstLine="850"/>
        <w:jc w:val="both"/>
      </w:pPr>
      <w:r>
        <w:t>Essa interpretação é coerente com a literatura de reutilização de dados clínicos reais. Estudos de qualidade de dados em prontuários e bases laboratoriais mostram que completude, frequência de solicitação e seleção implícita por disponibilidade informacional podem gerar coortes analíticas sistematicamente diferentes da população-fonte (Ma et al., 2020; Lewis et al., 2023; Ban Al-Sahab et al., 2024). No presente caso, o filtro por densidade laboratorial provavelmente seleciona encontros mais informativos do ponto de vista multimarcador, mas também mais expostos a viés de complexidade clínica e comportamento de solicitação. Esse risco deve ser interpretado à luz da própria completude do conjunto final: leucócitos, plaquetas e creatinina apresentaram observação direta elevada, enquanto PCR, TGO e TGP permaneceram disponíveis em cerca de três quartos a quatro quintos da coorte analítica. Assim, o sinal central dos clusters não parece depender exclusivamente de variáveis raras, mas parte da definição dos fenótipos ainda é influenciada por marcadores com ausência não trivial. Por isso, a definição mais apropriada para a amostra estudada é a de coorte multimarcador rica em exames, e não a de população geral de emergência. A associação fraca entre contexto assistencial e cluster (V de Cramér=0,052) também merece leitura cuidadosa. Em vez de sugerir independência absoluta, esse resultado indica que os perfis identificados parecem mais fortemente ancorados na configuração laboratorial dos atendimentos do que em rótulos administrativos simples de contexto assistencial. Isso é conceitualmente relevante para a proposta do estudo, mas deve continuar sendo interpretado com prudência, já que o próprio contexto assistencial disponível é uma simplificação operacional e não uma descrição clínica exaustiva.</w:t>
      </w:r>
    </w:p>
    <w:p>
      <w:pPr>
        <w:spacing w:line="480" w:lineRule="auto"/>
        <w:ind w:firstLine="850"/>
        <w:jc w:val="both"/>
      </w:pPr>
      <w:r>
        <w:rPr>
          <w:rFonts w:ascii="Times New Roman" w:hAnsi="Times New Roman" w:eastAsia="Times New Roman"/>
          <w:sz w:val="24"/>
        </w:rPr>
        <w:t>No conjunto, os achados permanecem alinhados à literatura de fenotipagem baseada em prontuário eletrônico e clusterização clínica. Becker et al. (2023) destacam que abordagens não supervisionadas são mais úteis quando formuladas como ferramentas para descrever heterogeneidade latente e gerar hipóteses interpretáveis. Em síndromes agudas, Seymour et al. (2019), Calfee et al. (2014) e Papin et al. (2021) mostraram que perfis latentes podem organizar inflamação, disfunção orgânica e risco clínico, ainda que em cenários muito mais ricos em variáveis clínicas e desfechos. Nosso estudo se situa em um nível mais pragmático: utiliza um painel laboratorial pequeno, de alta disponibilidade operacional, para detectar padrões biologicamente coerentes em dados de rotina. Esse desenho favorece aplicabilidade potencial, mas reduz a profundidade causal e a capacidade de validação clínica imediata.</w:t>
      </w:r>
    </w:p>
    <w:p>
      <w:pPr>
        <w:spacing w:line="480" w:lineRule="auto"/>
        <w:ind w:firstLine="850"/>
        <w:jc w:val="both"/>
      </w:pPr>
      <w:r>
        <w:t>Por isso, a utilidade clínica desta abordagem deve permanecer delimitada. Os resultados apoiam o valor exploratório da fenotipagem laboratorial para descrever heterogeneidade biológica latente em dados reais, mas não validam subgrupos clínicos em nível individual nem estabelecem utilidade prognóstica. Qualquer passo em direção a suporte à decisão, estratificação de risco ou precisão terapêutica exigirá pelo menos três elementos adicionais: vinculação com desfechos, replicação em coortes externas e avaliação mais ampla de estabilidade frente a escolhas de pré-processamento. Até lá, o uso mais defensável desses achados é como base para geração de hipóteses e organização descritiva de padrões laboratoriais em medicina de emergência.</w:t>
      </w:r>
    </w:p>
    <w:p w14:paraId="40579321" w14:textId="77777777" w:rsidR="00186176" w:rsidRDefault="00000000">
      <w:pPr>
        <w:spacing w:after="80"/>
        <w:ind w:firstLine="0"/>
        <w:jc w:val="left"/>
      </w:pPr>
      <w:r>
        <w:rPr>
          <w:rFonts w:ascii="Times New Roman" w:hAnsi="Times New Roman" w:eastAsia="Times New Roman"/>
          <w:b/>
          <w:sz w:val="24"/>
        </w:rPr>
        <w:t>Conclusão</w:t>
      </w:r>
    </w:p>
    <w:p w14:paraId="7AB42350" w14:textId="77777777" w:rsidR="00186176" w:rsidRDefault="00000000">
      <w:pPr>
        <w:spacing w:after="160" w:line="480" w:lineRule="auto"/>
        <w:ind w:firstLine="850"/>
        <w:jc w:val="both"/>
      </w:pPr>
      <w:r>
        <w:t>A fenotipagem laboratorial não supervisionada identificou três perfis exploratórios e clinicamente plausíveis em uma grande base de atendimentos clínicos reais: um fenótipo inflamatório-renal, um fenótipo hepático e um fenótipo basal. As análises de robustez indicam que a idade contribui para a separação dos grupos, mas não explica integralmente a persistência do padrão inflamatório-renal, e que encontros repetidos modificam as estimativas de prevalência entre os fenótipos. A distribuição desigual por sexo e a persistência do fenótipo basal como grupo mais frequente reforçam que a heterogeneidade laboratorial observada não se resume a um artefato geométrico simples. Esses resultados devem ser interpretados no contexto de uma coorte baseada em atendimentos e selecionada por maior densidade laboratorial, uma vez que o critério n_exames &gt;= 6 reteve apenas parte dos encontros candidatos. Assim, o estudo sustenta o valor exploratório da fenotipagem multimarcador como contribuição aplicada da informática em saúde para descrever heterogeneidade laboratorial em dados reais, mas não valida subgrupos clínicos generalizáveis nem estabelece utilidade prognóstica. A relevância clínica desses perfis dependerá de vinculação com desfechos, replicação externa e avaliação adicional de estabilidade, especialmente para distinguir melhor o significado clínico do fenótipo hepático e o papel do fenótipo basal como perfil de menor perturbação laboratorial.</w:t>
      </w:r>
    </w:p>
    <w:p>
      <w:pPr>
        <w:ind w:firstLine="0"/>
        <w:jc w:val="left"/>
      </w:pPr>
      <w:r>
        <w:rPr>
          <w:rFonts w:ascii="Times New Roman" w:hAnsi="Times New Roman" w:eastAsia="Times New Roman"/>
          <w:sz w:val="24"/>
        </w:rPr>
        <w:t>Agradecimentos</w:t>
      </w:r>
    </w:p>
    <w:p>
      <w:pPr>
        <w:spacing w:line="480" w:lineRule="auto"/>
        <w:ind w:firstLine="850"/>
        <w:jc w:val="both"/>
      </w:pPr>
      <w:r>
        <w:rPr>
          <w:rFonts w:ascii="Times New Roman" w:hAnsi="Times New Roman" w:eastAsia="Times New Roman"/>
          <w:sz w:val="24"/>
        </w:rPr>
        <w:t>Não se aplica.</w:t>
      </w:r>
    </w:p>
    <w:p w14:paraId="6BBBBB75" w14:textId="77777777" w:rsidR="00186176" w:rsidRDefault="00000000">
      <w:pPr>
        <w:spacing w:after="80"/>
        <w:ind w:firstLine="0"/>
        <w:jc w:val="left"/>
      </w:pPr>
      <w:r>
        <w:rPr>
          <w:rFonts w:ascii="Times New Roman" w:hAnsi="Times New Roman" w:eastAsia="Times New Roman"/>
          <w:b/>
          <w:sz w:val="24"/>
        </w:rPr>
        <w:t>Referências</w:t>
      </w:r>
    </w:p>
    <w:p>
      <w:pPr>
        <w:spacing w:line="480" w:lineRule="auto"/>
        <w:ind w:firstLine="850"/>
        <w:jc w:val="both"/>
      </w:pPr>
      <w:r>
        <w:rPr>
          <w:rFonts w:ascii="Times New Roman" w:hAnsi="Times New Roman" w:eastAsia="Times New Roman"/>
          <w:sz w:val="24"/>
        </w:rPr>
        <w:t>Ban Al-Sahab B, et al. 2024. Biases in Electronic Health Records Data for Generating Real-World Evidence: An Overview. J Healthc Inform Res. 8(1):121-139. doi:10.1007/s41666-023-00153-2.</w:t>
      </w:r>
    </w:p>
    <w:p>
      <w:pPr>
        <w:spacing w:line="480" w:lineRule="auto"/>
        <w:ind w:firstLine="850"/>
        <w:jc w:val="both"/>
      </w:pPr>
      <w:r>
        <w:rPr>
          <w:rFonts w:ascii="Times New Roman" w:hAnsi="Times New Roman" w:eastAsia="Times New Roman"/>
          <w:sz w:val="24"/>
        </w:rPr>
        <w:t>Becker F, Smilde AK, Acar E. 2023. Unsupervised EHR-based phenotyping via matrix and tensor decompositions. Wiley Interdiscip Rev Data Min Knowl Discov. 13(4):e1494. doi:10.1002/widm.1494.</w:t>
      </w:r>
    </w:p>
    <w:p>
      <w:pPr>
        <w:spacing w:line="480" w:lineRule="auto"/>
        <w:ind w:firstLine="850"/>
        <w:jc w:val="both"/>
      </w:pPr>
      <w:r>
        <w:rPr>
          <w:rFonts w:ascii="Times New Roman" w:hAnsi="Times New Roman" w:eastAsia="Times New Roman"/>
          <w:sz w:val="24"/>
        </w:rPr>
        <w:t>Calfee CS, et al. 2014. Subphenotypes in acute respiratory distress syndrome: latent class analysis of data from two randomised controlled trials. Lancet Respir Med. 2(8):611-620. doi:10.1016/S2213-2600(14)70097-9.</w:t>
      </w:r>
    </w:p>
    <w:p>
      <w:pPr>
        <w:spacing w:line="480" w:lineRule="auto"/>
        <w:ind w:firstLine="850"/>
        <w:jc w:val="both"/>
      </w:pPr>
      <w:r>
        <w:rPr>
          <w:rFonts w:ascii="Times New Roman" w:hAnsi="Times New Roman" w:eastAsia="Times New Roman"/>
          <w:sz w:val="24"/>
        </w:rPr>
        <w:t>Cruz AT. 2018. Indications and Interpretation of Common Laboratory Assays in the Emergency Department. Pediatr Clin North Am. 65(6):1191-1204. doi:10.1016/j.pcl.2018.07.005.</w:t>
      </w:r>
    </w:p>
    <w:p>
      <w:pPr>
        <w:spacing w:line="480" w:lineRule="auto"/>
        <w:ind w:firstLine="850"/>
        <w:jc w:val="both"/>
      </w:pPr>
      <w:r>
        <w:rPr>
          <w:rFonts w:ascii="Times New Roman" w:hAnsi="Times New Roman" w:eastAsia="Times New Roman"/>
          <w:sz w:val="24"/>
        </w:rPr>
        <w:t>Johnson AEW, et al. 2016. Machine Learning and Decision Support in Critical Care. Proc IEEE. 104(2):444-466.</w:t>
      </w:r>
    </w:p>
    <w:p>
      <w:pPr>
        <w:spacing w:line="480" w:lineRule="auto"/>
        <w:ind w:firstLine="850"/>
        <w:jc w:val="both"/>
      </w:pPr>
      <w:r>
        <w:rPr>
          <w:rFonts w:ascii="Times New Roman" w:hAnsi="Times New Roman" w:eastAsia="Times New Roman"/>
          <w:sz w:val="24"/>
        </w:rPr>
        <w:t>Kahn MG, et al. 2016. A Harmonized Data Quality Assessment Terminology and Framework for the Secondary Use of Electronic Health Record Data. EGEMS (Wash DC). 4(1):1244.</w:t>
      </w:r>
    </w:p>
    <w:p>
      <w:pPr>
        <w:spacing w:line="480" w:lineRule="auto"/>
        <w:ind w:firstLine="850"/>
        <w:jc w:val="both"/>
      </w:pPr>
      <w:r>
        <w:rPr>
          <w:rFonts w:ascii="Times New Roman" w:hAnsi="Times New Roman" w:eastAsia="Times New Roman"/>
          <w:sz w:val="24"/>
        </w:rPr>
        <w:t>Lee S, Lam SH, Rocha TAH, Fleischman RJ, Staton CA, et al. 2021. Machine Learning and Precision Medicine in Emergency Medicine: The Basics. Cureus. 13(9):e17636. doi:10.7759/cureus.17636.</w:t>
      </w:r>
    </w:p>
    <w:p>
      <w:pPr>
        <w:spacing w:line="480" w:lineRule="auto"/>
        <w:ind w:firstLine="850"/>
        <w:jc w:val="both"/>
      </w:pPr>
      <w:r>
        <w:rPr>
          <w:rFonts w:ascii="Times New Roman" w:hAnsi="Times New Roman" w:eastAsia="Times New Roman"/>
          <w:sz w:val="24"/>
        </w:rPr>
        <w:t>Lee S, Mohr NM, Street WN, Nadkarni P. 2019. Machine Learning in Relation to Emergency Medicine Clinical and Operational Scenarios: An Overview. West J Emerg Med. 20(2):219-227. doi:10.5811/westjem.2019.1.41244.</w:t>
      </w:r>
    </w:p>
    <w:p>
      <w:pPr>
        <w:spacing w:line="480" w:lineRule="auto"/>
        <w:ind w:firstLine="850"/>
        <w:jc w:val="both"/>
      </w:pPr>
      <w:r>
        <w:rPr>
          <w:rFonts w:ascii="Times New Roman" w:hAnsi="Times New Roman" w:eastAsia="Times New Roman"/>
          <w:sz w:val="24"/>
        </w:rPr>
        <w:t>Lewis AE, et al. 2023. Electronic health record data quality assessment and tools: a systematic review. J Am Med Inform Assoc. 30(10):1730-1740. doi:10.1093/jamia/ocad120.</w:t>
      </w:r>
    </w:p>
    <w:p>
      <w:pPr>
        <w:spacing w:line="480" w:lineRule="auto"/>
        <w:ind w:firstLine="850"/>
        <w:jc w:val="both"/>
      </w:pPr>
      <w:r>
        <w:rPr>
          <w:rFonts w:ascii="Times New Roman" w:hAnsi="Times New Roman" w:eastAsia="Times New Roman"/>
          <w:sz w:val="24"/>
        </w:rPr>
        <w:t>Ma C, et al. 2020. Real-world big-data studies in laboratory medicine: Current status, application, and future considerations. Clin Biochem. 84:21-30. doi:10.1016/j.clinbiochem.2020.06.014.</w:t>
      </w:r>
    </w:p>
    <w:p>
      <w:pPr>
        <w:spacing w:line="480" w:lineRule="auto"/>
        <w:ind w:firstLine="850"/>
        <w:jc w:val="both"/>
      </w:pPr>
      <w:r>
        <w:rPr>
          <w:rFonts w:ascii="Times New Roman" w:hAnsi="Times New Roman" w:eastAsia="Times New Roman"/>
          <w:sz w:val="24"/>
        </w:rPr>
        <w:t>McInnes L, Healy J, Saul N, Grossberger L. 2018. UMAP: Uniform Manifold Approximation and Projection. J Open Source Softw. 3(29):861. doi:10.21105/joss.00861.</w:t>
      </w:r>
    </w:p>
    <w:p>
      <w:pPr>
        <w:spacing w:line="480" w:lineRule="auto"/>
        <w:ind w:firstLine="850"/>
        <w:jc w:val="both"/>
      </w:pPr>
      <w:r>
        <w:rPr>
          <w:rFonts w:ascii="Times New Roman" w:hAnsi="Times New Roman" w:eastAsia="Times New Roman"/>
          <w:sz w:val="24"/>
        </w:rPr>
        <w:t>Nemati S, Mohammadi B, Hooshanginezhad Z. 2024. Clustering Based on Laboratory Data in Patients With Heart Failure Admitted to the Intensive Care Unit. J Clin Lab Anal. 38(21).</w:t>
      </w:r>
    </w:p>
    <w:p>
      <w:pPr>
        <w:spacing w:line="480" w:lineRule="auto"/>
        <w:ind w:firstLine="850"/>
        <w:jc w:val="both"/>
      </w:pPr>
      <w:r>
        <w:rPr>
          <w:rFonts w:ascii="Times New Roman" w:hAnsi="Times New Roman" w:eastAsia="Times New Roman"/>
          <w:sz w:val="24"/>
        </w:rPr>
        <w:t>Newman-Toker DE, et al. 2022. Diagnostic Errors in the Emergency Department: A Systematic Review [Internet]. Rockville (MD): Agency for Healthcare Research and Quality (US). doi:10.23970/AHRQEPCCER258.</w:t>
      </w:r>
    </w:p>
    <w:p>
      <w:pPr>
        <w:spacing w:line="480" w:lineRule="auto"/>
        <w:ind w:firstLine="850"/>
        <w:jc w:val="both"/>
      </w:pPr>
      <w:r>
        <w:rPr>
          <w:rFonts w:ascii="Times New Roman" w:hAnsi="Times New Roman" w:eastAsia="Times New Roman"/>
          <w:sz w:val="24"/>
        </w:rPr>
        <w:t>Papin G, et al. 2021. Clinical and biological clusters of sepsis patients using hierarchical clustering. PLoS One. 16(8):e0252793. doi:10.1371/journal.pone.0252793.</w:t>
      </w:r>
    </w:p>
    <w:p>
      <w:pPr>
        <w:spacing w:line="480" w:lineRule="auto"/>
        <w:ind w:firstLine="850"/>
        <w:jc w:val="both"/>
      </w:pPr>
      <w:r>
        <w:rPr>
          <w:rFonts w:ascii="Times New Roman" w:hAnsi="Times New Roman" w:eastAsia="Times New Roman"/>
          <w:sz w:val="24"/>
        </w:rPr>
        <w:t>Rodrigues CE, Endre ZH. 2023. Definitions, phenotypes, and subphenotypes in acute kidney injury-Moving towards precision medicine. Nephrology (Carlton). 28(2):83-96. doi:10.1111/nep.14132.</w:t>
      </w:r>
    </w:p>
    <w:p>
      <w:pPr>
        <w:spacing w:line="480" w:lineRule="auto"/>
        <w:ind w:firstLine="850"/>
        <w:jc w:val="both"/>
      </w:pPr>
      <w:r>
        <w:rPr>
          <w:rFonts w:ascii="Times New Roman" w:hAnsi="Times New Roman" w:eastAsia="Times New Roman"/>
          <w:sz w:val="24"/>
        </w:rPr>
        <w:t>Seymour CW, et al. 2019. Derivation, Validation, and Potential Treatment Implications of Novel Clinical Phenotypes for Sepsis. JAMA. 321(20):2003-2017. doi:10.1001/jama.2019.5791.</w:t>
      </w:r>
    </w:p>
    <w:p>
      <w:pPr>
        <w:spacing w:line="480" w:lineRule="auto"/>
        <w:ind w:firstLine="850"/>
        <w:jc w:val="both"/>
      </w:pPr>
      <w:r>
        <w:rPr>
          <w:rFonts w:ascii="Times New Roman" w:hAnsi="Times New Roman" w:eastAsia="Times New Roman"/>
          <w:sz w:val="24"/>
        </w:rPr>
        <w:t>Weiskopf NG, Weng C. 2013. Methods and dimensions of electronic health record data quality assessment: enabling reuse for clinical research. J Am Med Inform Assoc. 20(1):144-151.</w:t>
      </w:r>
    </w:p>
    <w:sectPr w:rsidR="00186176" w:rsidSect="00034616">
      <w:pgSz w:w="11906" w:h="16838"/>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896890461">
    <w:abstractNumId w:val="8"/>
  </w:num>
  <w:num w:numId="2" w16cid:durableId="1363896552">
    <w:abstractNumId w:val="6"/>
  </w:num>
  <w:num w:numId="3" w16cid:durableId="2006934283">
    <w:abstractNumId w:val="5"/>
  </w:num>
  <w:num w:numId="4" w16cid:durableId="598106444">
    <w:abstractNumId w:val="4"/>
  </w:num>
  <w:num w:numId="5" w16cid:durableId="1244296169">
    <w:abstractNumId w:val="7"/>
  </w:num>
  <w:num w:numId="6" w16cid:durableId="1716346206">
    <w:abstractNumId w:val="3"/>
  </w:num>
  <w:num w:numId="7" w16cid:durableId="1286303496">
    <w:abstractNumId w:val="2"/>
  </w:num>
  <w:num w:numId="8" w16cid:durableId="36320403">
    <w:abstractNumId w:val="1"/>
  </w:num>
  <w:num w:numId="9" w16cid:durableId="8219666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5"/>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6176"/>
    <w:rsid w:val="001949DA"/>
    <w:rsid w:val="0029639D"/>
    <w:rsid w:val="002C6B4E"/>
    <w:rsid w:val="00326F90"/>
    <w:rsid w:val="00572273"/>
    <w:rsid w:val="007C7ABB"/>
    <w:rsid w:val="00883094"/>
    <w:rsid w:val="00AA1D8D"/>
    <w:rsid w:val="00B47730"/>
    <w:rsid w:val="00CB0664"/>
    <w:rsid w:val="00CF324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7B93D4"/>
  <w14:defaultImageDpi w14:val="300"/>
  <w15:docId w15:val="{63BD38F9-A4CF-894E-92CB-C34AE4B49E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480" w:lineRule="auto"/>
      <w:ind w:firstLine="850"/>
    </w:pPr>
    <w:rPr>
      <w:rFonts w:ascii="Times New Roman" w:hAnsi="Times New Roman" w:eastAsia="Times New Roman"/>
      <w:sz w:val="24"/>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10</Pages>
  <Words>4119</Words>
  <Characters>22245</Characters>
  <Application>Microsoft Office Word</Application>
  <DocSecurity>0</DocSecurity>
  <Lines>185</Lines>
  <Paragraphs>52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26312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7</cp:revision>
  <dcterms:created xsi:type="dcterms:W3CDTF">2013-12-23T23:15:00Z</dcterms:created>
  <dcterms:modified xsi:type="dcterms:W3CDTF">2026-05-22T19:04:00Z</dcterms:modified>
  <cp:category/>
</cp:coreProperties>
</file>