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485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70"/>
        <w:gridCol w:w="6315"/>
        <w:tblGridChange w:id="0">
          <w:tblGrid>
            <w:gridCol w:w="10170"/>
            <w:gridCol w:w="6315"/>
          </w:tblGrid>
        </w:tblGridChange>
      </w:tblGrid>
      <w:tr>
        <w:trPr>
          <w:cantSplit w:val="0"/>
          <w:trHeight w:val="524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Must have рівень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Система контролю за швидкістю руху має наступні характеристики: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50 і менше км/год – система не реагує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більше ніж 50, але менше ніж 55 км/год – система видає попередження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більше ніж 55, але менше ніж 60 км/год – система випише штраф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більше, ніж 60 км/год – водій отримає штраф та штрафний бал у водійське посвідчення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Швидкість в системі вимірюється цілими значеннями. Який з наборів тестових даних можна використати для перевірки всіх граничних значень еквівалентних класів? 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0, 49, 50, 54, 59, 60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50, 55, 60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49, 50, 54, 55, 60, 62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commentRangeStart w:id="0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t xml:space="preserve">50, 51, 55, 56, 60, 61 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- правильна відповідь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Фітнес застосунок рахує кількість кроків і надсилає користувачам повідомлення, щоб заохотити їх рухатися. В залежності від кількості кроків фідбек буде таким: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до 1000 кроків включно – “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Житель дивана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 1000 до 2000 кроків включно – 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“Лежибока”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 2000 до 4000 кроків включно – “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Рухай тілом!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 4000 до 6000 кроків включно – “Непогано!”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ubik" w:cs="Rubik" w:eastAsia="Rubik" w:hAnsi="Rubik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більше 6000 – “Молодець, так тримати!”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набір тестових даних надасть найкраще покриття класів еквівалентності?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0, 1000, 2000, 3000, 4000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1000, 2001, 4000, 4001, 6000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123, 2345, 3456, 4567, 5678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commentRangeStart w:id="1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t xml:space="preserve">666, 999, 2222, 5555, 6666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- правильна відповідь 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Середній рівень: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Виконай завдання попереднього рівня.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Пристрій, що вимірює час та інтенсивність сонячного світла, яке отримала рослина, рахує комбінацію параметрів – час на сонці (менше ніж 3 години, від 3 до 6 годин та понад 6 годин) та інтенсивність світла (дуже низька, низька, середня, висока).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Є наступний набір тестів: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95.0" w:type="dxa"/>
              <w:jc w:val="left"/>
              <w:tblInd w:w="109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75"/>
              <w:gridCol w:w="1125"/>
              <w:gridCol w:w="1860"/>
              <w:gridCol w:w="2535"/>
              <w:tblGridChange w:id="0">
                <w:tblGrid>
                  <w:gridCol w:w="975"/>
                  <w:gridCol w:w="1125"/>
                  <w:gridCol w:w="1860"/>
                  <w:gridCol w:w="25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Години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Інтенсивність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Індекс опромінення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1,5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дуже низька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середня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60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0,5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дуже низька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Яка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3f3f3f"/>
                <w:sz w:val="24"/>
                <w:szCs w:val="24"/>
                <w:rtl w:val="0"/>
              </w:rPr>
              <w:t xml:space="preserve">мінімальна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 кількість додаткових тест-кейсів потрібна, щоб упевнитися, що всі валідні класи еквівалентності покриті?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commentRangeStart w:id="2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t xml:space="preserve">2 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Застосунок для відтворення відео має вимоги. Застосунок буде працювати на пристроях з такою розподільчою здатністю: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640x480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1280x720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1600x1200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1920x1080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тест-кейс є результатом застосування техніки розподілення на класи еквівалентності? Обгрунтуй свою відповідь.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Перевірити, що застосунок відтворює відео на дисплеї 1920х1080 (1 тест-кейс)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Перевірити, що застосунок відтворює відео на дисплеї 640х480 та 1920х1080 (2 тест-кейси)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commentRangeStart w:id="3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t xml:space="preserve">Перевірити, що застосунок відтворює відео на дисплеях всіх розмірів, вказаних у вимогах (4 тест-кейси)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Перевірити, що застосунок відтворює відео на дисплеї будь-якого розміру, що вказані у вимогах (1 тест-кейс)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0.12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Програма максимум: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Виконай завдання двох попередніх рівнів.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Продовжуємо розвивати стартап для застосунку, який дозволяє обмінюватися фотографіями котиків.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Напиши вимоги для застосунку, які б регламентували мінімальний та максимальний розмір фотографії, що користувачі можуть завантажити в систему. А також такі параметри: мінімальна довжина коментаря під фотографіями, максимальна довжина коментаря під фотографіями (чим більше параметрів ти придумаєш, тим краще). </w:t>
              <w:br w:type="textWrapping"/>
              <w:t xml:space="preserve">П.С.: можна додати свої власні параметри типу вік користувача, формат фото і т.д.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commentRangeStart w:id="4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Напиши тест-кейси, які за допомогою розділення на класи еквівалентності та аналіз граничних значень, дозволять перевірити ці вимоги.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Вимоги:</w:t>
              <w:br w:type="textWrapping"/>
              <w:t xml:space="preserve">1. Розмір завантажуваних фото має бути не менше, ніж 10 Кб та не більше, ніж 10Мб.</w:t>
              <w:br w:type="textWrapping"/>
              <w:t xml:space="preserve">Назва групи тест-кейсів: Завантаження фото</w:t>
              <w:br w:type="textWrapping"/>
              <w:t xml:space="preserve">Пріоритет: High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Тип: Boundary Value Analysis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Передумови: Користувач авторизований у застосунку CatSnap, знаходиться на екрані завантаження фото</w:t>
              <w:br w:type="textWrapping"/>
              <w:t xml:space="preserve">Кроки: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Натиснути кнопку "Додати фото"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Обрати файл (розмір відповідно до тест-кейсу)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Підтвердити завантаження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9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75"/>
              <w:gridCol w:w="2205"/>
              <w:gridCol w:w="3390"/>
              <w:gridCol w:w="3630"/>
              <w:tblGridChange w:id="0">
                <w:tblGrid>
                  <w:gridCol w:w="675"/>
                  <w:gridCol w:w="2205"/>
                  <w:gridCol w:w="3390"/>
                  <w:gridCol w:w="3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Розмір фото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Клас/межа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Очікуваний результат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ТС-011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файл 5 КБ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Невалідний (замалий)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Помилка: "Файл занадто малий"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ТС-012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файл 9 КБ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Нижня межа -1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Помилка: "Файл занадто малий"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ТС-013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файл 10 КБ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Нижня межа точно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Успішне завантаження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ТС-014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файл 11 КБ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Нижня межа +1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Успішне завантаження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ТС-015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файл 5 МБ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Середина класу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Успішне завантаження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ТС-016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файл 10239 КБ (~9.99 МБ)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Верхня межа -1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Успішне завантаження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ТС-017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файл 10 МБ (10240 КБ)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Верхня межа точно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Успішне завантаження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ТС-018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файл 10241 КБ (&gt;10 МБ)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Верхня межа +1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Помилка: "Файл занадто великий"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ТС-019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файл 20 МБ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Невалідний (завеликий)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Помилка: "Файл занадто великий" </w:t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Роздільна здатність завантажуваних фото має бути не менше 320х320 px, та не більше 4096х4096 px.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3. Мінімальна довжина коментаря 5 символів без пробілів, максимальна - 200 сбп.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4. Вік користувача має бути не менше 12 років та не більше 100 років.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Решту тест-кейсів писати за таким самим принципом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3" w:date="2026-07-19T19:50:21Z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правильна відповідь!</w:t>
      </w:r>
    </w:p>
  </w:comment>
  <w:comment w:author="Nadiia Ovsiannikova" w:id="4" w:date="2026-07-19T19:52:45Z"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Вимоги ти сформулювала по суті (розмір фото 10 КБ–10 МБ, роздільна здатність 320×320–4096×4096, довжина коментаря 5–200 символів без пробілів, вік користувача 12–100 років) — чотири параметри, трохи менше за максимум «чим більше, тим краще», тож наступного разу спробуй додати ще один-два (наприклад, формат файлу чи кількість фото на добу). Головна прогалина — у тест-кейсах: детально прописана лише одна група («Завантаження фото»: пріоритет, тип, передумови, кроки), а крок «Обрати файл (розмір відповідно до тест-кейсу)» — це шаблон без конкретних граничних значень (9 КБ, 10 КБ, 10 МБ, 10 МБ+1 тощо), які й становлять суть BVA</w:t>
      </w:r>
    </w:p>
  </w:comment>
  <w:comment w:author="Nadiia Ovsiannikova" w:id="0" w:date="2026-07-19T19:48:05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правильний варіант</w:t>
      </w:r>
    </w:p>
  </w:comment>
  <w:comment w:author="Nadiia Ovsiannikova" w:id="1" w:date="2026-07-19T19:48:31Z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коректно</w:t>
      </w:r>
    </w:p>
  </w:comment>
  <w:comment w:author="Nadiia Ovsiannikova" w:id="2" w:date="2026-07-19T19:49:18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правильно визначила, що потрібні ще 2 додаткові тест-кейси, щоб покрити всі валідні комбінації класів еквівалентності (час на сонці × інтенсивність світла).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spacing w:line="276" w:lineRule="auto"/>
      <w:jc w:val="right"/>
      <w:rPr/>
    </w:pPr>
    <w:r w:rsidDel="00000000" w:rsidR="00000000" w:rsidRPr="00000000">
      <w:rPr/>
      <w:drawing>
        <wp:inline distB="114300" distT="114300" distL="114300" distR="114300">
          <wp:extent cx="1176338" cy="47636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Relationship Id="rId5" Type="http://schemas.openxmlformats.org/officeDocument/2006/relationships/font" Target="fonts/NunitoSans-regular.ttf"/><Relationship Id="rId6" Type="http://schemas.openxmlformats.org/officeDocument/2006/relationships/font" Target="fonts/NunitoSans-bold.ttf"/><Relationship Id="rId7" Type="http://schemas.openxmlformats.org/officeDocument/2006/relationships/font" Target="fonts/NunitoSans-italic.ttf"/><Relationship Id="rId8" Type="http://schemas.openxmlformats.org/officeDocument/2006/relationships/font" Target="fonts/Nuni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