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1.3 Date-range coverage and event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most common events in the dataset are </w:t>
      </w:r>
      <w:r w:rsidDel="00000000" w:rsidR="00000000" w:rsidRPr="00000000">
        <w:rPr>
          <w:b w:val="1"/>
          <w:bCs w:val="1"/>
          <w:rtl w:val="0"/>
        </w:rPr>
        <w:t xml:space="preserve">page_view (31.4%)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user_engagement (24.7%)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scroll (11.5%)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view_item (9.0%)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session_start (8.3%)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first_visit (6.0%)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view_promotion (4.4%)</w:t>
      </w:r>
      <w:r w:rsidDel="00000000" w:rsidR="00000000" w:rsidRPr="00000000">
        <w:rPr>
          <w:rtl w:val="0"/>
        </w:rPr>
        <w:t xml:space="preserve">. Less frequent events include </w:t>
      </w:r>
      <w:r w:rsidDel="00000000" w:rsidR="00000000" w:rsidRPr="00000000">
        <w:rPr>
          <w:b w:val="1"/>
          <w:bCs w:val="1"/>
          <w:rtl w:val="0"/>
        </w:rPr>
        <w:t xml:space="preserve">add_to_cart (1.4%)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begin_checkout (0.9%)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select_item (0.7%)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view_search_results (0.6%)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key ecommerce funnel events that will be used later are: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session_start</w:t>
      </w:r>
      <w:r w:rsidDel="00000000" w:rsidR="00000000" w:rsidRPr="00000000">
        <w:rPr>
          <w:rtl w:val="0"/>
        </w:rPr>
        <w:t xml:space="preserve"> (8.3%)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view_item</w:t>
      </w:r>
      <w:r w:rsidDel="00000000" w:rsidR="00000000" w:rsidRPr="00000000">
        <w:rPr>
          <w:rtl w:val="0"/>
        </w:rPr>
        <w:t xml:space="preserve"> (9.0%)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 (1.4%)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begin_checkout</w:t>
      </w:r>
      <w:r w:rsidDel="00000000" w:rsidR="00000000" w:rsidRPr="00000000">
        <w:rPr>
          <w:rtl w:val="0"/>
        </w:rPr>
        <w:t xml:space="preserve"> (0.9%)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(not shown in the top 11 events and likely occurs at a much lower frequency)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