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Update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2020</w:t>
      </w:r>
    </w:p>
    <w:p>
      <w:pPr>
        <w:pStyle w:val="FirstParagraph"/>
      </w:pPr>
      <m:oMathPara>
        <m:oMathParaPr>
          <m:jc m:val="center"/>
        </m:oMathParaPr>
        <m:oMath/>
      </m:oMathPara>
    </w:p>
    <w:bookmarkStart w:id="22" w:name="model-review"/>
    <w:p>
      <w:pPr>
        <w:pStyle w:val="Heading1"/>
      </w:pPr>
      <w:r>
        <w:t xml:space="preserve">Model review</w:t>
      </w:r>
    </w:p>
    <w:p>
      <w:pPr>
        <w:pStyle w:val="FirstParagraph"/>
      </w:pPr>
      <w:r>
        <w:t xml:space="preserve">The proposed model uses a zero-inflated log-normal likelihood with a Poisson</w:t>
      </w:r>
      <w:r>
        <w:t xml:space="preserve"> </w:t>
      </w:r>
      <w:r>
        <w:t xml:space="preserve">link function. The linear predictors for numbers density,</w:t>
      </w:r>
      <w:r>
        <w:t xml:space="preserve"> </w:t>
      </w:r>
      <m:oMath>
        <m:r>
          <m:t>n</m:t>
        </m:r>
      </m:oMath>
      <w:r>
        <w:t xml:space="preserve">, and weight per</w:t>
      </w:r>
      <w:r>
        <w:t xml:space="preserve"> </w:t>
      </w:r>
      <w:r>
        <w:t xml:space="preserve">group,</w:t>
      </w:r>
      <w:r>
        <w:t xml:space="preserve"> </w:t>
      </w:r>
      <m:oMath>
        <m:r>
          <m:t>w</m:t>
        </m:r>
      </m:oMath>
      <w:r>
        <w:t xml:space="preserve">,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acc>
            <m:accPr>
              <m:chr m:val="⃗"/>
            </m:accPr>
            <m:e>
              <m:r>
                <m:t>n</m:t>
              </m:r>
            </m:e>
          </m:acc>
          <m:r>
            <m:t>=</m:t>
          </m:r>
          <m:sSub>
            <m:e>
              <m:acc>
                <m:accPr>
                  <m:chr m:val="⃗"/>
                </m:accPr>
                <m:e>
                  <m:r>
                    <m:t>X</m:t>
                  </m:r>
                </m:e>
              </m:acc>
            </m:e>
            <m:sub>
              <m:r>
                <m:t>n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  <m:sub>
              <m:r>
                <m:t>n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ω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ω</m:t>
                  </m:r>
                </m:e>
              </m:acc>
            </m:e>
            <m:sub>
              <m:r>
                <m:t>n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ϵ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ϵ</m:t>
                  </m:r>
                </m:e>
              </m:acc>
            </m:e>
            <m:sub>
              <m:r>
                <m:t>n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Q</m:t>
                  </m:r>
                </m:e>
              </m:acc>
            </m:e>
            <m:sub>
              <m:r>
                <m:t>n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λ</m:t>
                  </m:r>
                </m:e>
              </m:acc>
            </m:e>
            <m:sub>
              <m:r>
                <m:t>n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ϕ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ϕ</m:t>
                  </m:r>
                </m:e>
              </m:acc>
            </m:e>
            <m:sub>
              <m:r>
                <m:t>n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ψ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ψ</m:t>
                  </m:r>
                </m:e>
              </m:acc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acc>
            <m:accPr>
              <m:chr m:val="⃗"/>
            </m:accPr>
            <m:e>
              <m:r>
                <m:t>w</m:t>
              </m:r>
            </m:e>
          </m:acc>
          <m:r>
            <m:t>=</m:t>
          </m:r>
          <m:sSub>
            <m:e>
              <m:acc>
                <m:accPr>
                  <m:chr m:val="⃗"/>
                </m:accPr>
                <m:e>
                  <m:r>
                    <m:t>X</m:t>
                  </m:r>
                </m:e>
              </m:acc>
            </m:e>
            <m:sub>
              <m:r>
                <m:t>w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  <m:sub>
              <m:r>
                <m:t>w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ω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ω</m:t>
                  </m:r>
                </m:e>
              </m:acc>
            </m:e>
            <m:sub>
              <m:r>
                <m:t>w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ϵ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ϵ</m:t>
                  </m:r>
                </m:e>
              </m:acc>
            </m:e>
            <m:sub>
              <m:r>
                <m:t>w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Q</m:t>
                  </m:r>
                </m:e>
              </m:acc>
            </m:e>
            <m:sub>
              <m:r>
                <m:t>w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λ</m:t>
                  </m:r>
                </m:e>
              </m:acc>
            </m:e>
            <m:sub>
              <m:r>
                <m:t>w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ϕ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ϕ</m:t>
                  </m:r>
                </m:e>
              </m:acc>
            </m:e>
            <m:sub>
              <m:r>
                <m:t>w</m:t>
              </m:r>
            </m:sub>
          </m:sSub>
          <m:r>
            <m:t>+</m:t>
          </m:r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ψ</m:t>
              </m:r>
            </m:sub>
          </m:sSub>
          <m:sSub>
            <m:e>
              <m:acc>
                <m:accPr>
                  <m:chr m:val="⃗"/>
                </m:accPr>
                <m:e>
                  <m:r>
                    <m:t>ψ</m:t>
                  </m:r>
                </m:e>
              </m:acc>
            </m:e>
            <m:sub>
              <m:r>
                <m:t>w</m:t>
              </m:r>
            </m:sub>
          </m:sSub>
        </m:oMath>
      </m:oMathPara>
    </w:p>
    <w:p>
      <w:pPr>
        <w:pStyle w:val="FirstParagraph"/>
      </w:pPr>
      <w:r>
        <w:t xml:space="preserve">Where each linear predictor may include: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  <m:sub>
            <m:r>
              <m:t>⋅</m:t>
            </m:r>
          </m:sub>
        </m:sSub>
        <m:sSub>
          <m:e>
            <m:acc>
              <m:accPr>
                <m:chr m:val="⃗"/>
              </m:accPr>
              <m:e>
                <m:r>
                  <m:t>β</m:t>
                </m:r>
              </m:e>
            </m:acc>
          </m:e>
          <m:sub>
            <m:r>
              <m:t>⋅</m:t>
            </m:r>
          </m:sub>
        </m:sSub>
      </m:oMath>
      <w:r>
        <w:t xml:space="preserve">: abundance fixed effects (e.g. year)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ω</m:t>
            </m:r>
          </m:sub>
        </m:sSub>
        <m:sSub>
          <m:e>
            <m:acc>
              <m:accPr>
                <m:chr m:val="⃗"/>
              </m:accPr>
              <m:e>
                <m:r>
                  <m:t>ω</m:t>
                </m:r>
              </m:e>
            </m:acc>
          </m:e>
          <m:sub>
            <m:r>
              <m:t>⋅</m:t>
            </m:r>
          </m:sub>
        </m:sSub>
      </m:oMath>
      <w:r>
        <w:t xml:space="preserve">: abundance spatial effects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ϵ</m:t>
            </m:r>
          </m:sub>
        </m:sSub>
        <m:sSub>
          <m:e>
            <m:acc>
              <m:accPr>
                <m:chr m:val="⃗"/>
              </m:accPr>
              <m:e>
                <m:r>
                  <m:t>ϵ</m:t>
                </m:r>
              </m:e>
            </m:acc>
          </m:e>
          <m:sub>
            <m:r>
              <m:t>⋅</m:t>
            </m:r>
          </m:sub>
        </m:sSub>
      </m:oMath>
      <w:r>
        <w:t xml:space="preserve">: abundance spatiotemporal effects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⃗"/>
              </m:accPr>
              <m:e>
                <m:r>
                  <m:t>Q</m:t>
                </m:r>
              </m:e>
            </m:acc>
          </m:e>
          <m:sub>
            <m:r>
              <m:t>n</m:t>
            </m:r>
          </m:sub>
        </m:sSub>
        <m:sSub>
          <m:e>
            <m:acc>
              <m:accPr>
                <m:chr m:val="⃗"/>
              </m:accPr>
              <m:e>
                <m:r>
                  <m:t>λ</m:t>
                </m:r>
              </m:e>
            </m:acc>
          </m:e>
          <m:sub>
            <m:r>
              <m:t>⋅</m:t>
            </m:r>
          </m:sub>
        </m:sSub>
      </m:oMath>
      <w:r>
        <w:t xml:space="preserve">: catchability fixed effects (e.g. vessel/fleet)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ϕ</m:t>
            </m:r>
          </m:sub>
        </m:sSub>
        <m:sSub>
          <m:e>
            <m:acc>
              <m:accPr>
                <m:chr m:val="⃗"/>
              </m:accPr>
              <m:e>
                <m:r>
                  <m:t>ϕ</m:t>
                </m:r>
              </m:e>
            </m:acc>
          </m:e>
          <m:sub>
            <m:r>
              <m:t>⋅</m:t>
            </m:r>
          </m:sub>
        </m:sSub>
      </m:oMath>
      <w:r>
        <w:t xml:space="preserve">: catchability spatial effects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ψ</m:t>
            </m:r>
          </m:sub>
        </m:sSub>
        <m:sSub>
          <m:e>
            <m:acc>
              <m:accPr>
                <m:chr m:val="⃗"/>
              </m:accPr>
              <m:e>
                <m:r>
                  <m:t>ψ</m:t>
                </m:r>
              </m:e>
            </m:acc>
          </m:e>
          <m:sub>
            <m:r>
              <m:t>⋅</m:t>
            </m:r>
          </m:sub>
        </m:sSub>
      </m:oMath>
      <w:r>
        <w:t xml:space="preserve">: catchability spatiotemporal effects</w:t>
      </w:r>
    </w:p>
    <w:p>
      <w:pPr>
        <w:pStyle w:val="FirstParagraph"/>
      </w:pPr>
      <w:r>
        <w:t xml:space="preserve">The spatial and spatiotemporal effects parameter vectors take multivariate</w:t>
      </w:r>
      <w:r>
        <w:t xml:space="preserve"> </w:t>
      </w:r>
      <w:r>
        <w:t xml:space="preserve">normal distributions, each of which depends on independent parameters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τ</m:t>
        </m:r>
      </m:oMath>
      <w:r>
        <w:t xml:space="preserve">. These parameters can be difficult to estimate. In two dimensions and</w:t>
      </w:r>
      <w:r>
        <w:t xml:space="preserve"> </w:t>
      </w:r>
      <w:r>
        <w:t xml:space="preserve">fixing the Matérn smoothness parameter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1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8</m:t>
                  </m:r>
                </m:e>
              </m:rad>
            </m:num>
            <m:den>
              <m:r>
                <m:t>ρ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  <m:r>
          <m:t>h</m:t>
        </m:r>
        <m:r>
          <m:t>o</m:t>
        </m:r>
      </m:oMath>
      <w:r>
        <w:t xml:space="preserve"> </w:t>
      </w:r>
      <w:r>
        <w:t xml:space="preserve">is the distance where correlation drops to roughly</w:t>
      </w:r>
      <w:r>
        <w:t xml:space="preserve"> </w:t>
      </w:r>
      <m:oMath>
        <m:r>
          <m:t>0.1</m:t>
        </m:r>
      </m:oMath>
      <w:r>
        <w:t xml:space="preserve">. This</w:t>
      </w:r>
      <w:r>
        <w:t xml:space="preserve"> </w:t>
      </w:r>
      <w:r>
        <w:t xml:space="preserve">parameter cannot be consistently estimated under in-fill asymptotics (adding</w:t>
      </w:r>
      <w:r>
        <w:t xml:space="preserve"> </w:t>
      </w:r>
      <w:r>
        <w:t xml:space="preserve">additional observations within a fixed domain). The parameter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on the</w:t>
      </w:r>
      <w:r>
        <w:t xml:space="preserve"> </w:t>
      </w:r>
      <w:r>
        <w:t xml:space="preserve">other hand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consistently estimated under in-fill asymptotics</w:t>
      </w:r>
      <w:r>
        <w:rPr>
          <w:rStyle w:val="FootnoteReference"/>
        </w:rPr>
        <w:footnoteReference w:id="20"/>
      </w:r>
      <w:r>
        <w:t xml:space="preserve">. It is the</w:t>
      </w:r>
      <w:r>
        <w:t xml:space="preserve"> </w:t>
      </w:r>
      <w:r>
        <w:t xml:space="preserve">essential the ratio of the marginal standard deviation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the correlation</w:t>
      </w:r>
      <w:r>
        <w:t xml:space="preserve"> </w:t>
      </w:r>
      <w:r>
        <w:t xml:space="preserve">range,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>
                <m:t>ρ</m:t>
              </m:r>
            </m:den>
          </m:f>
          <m:r>
            <m:t>8</m:t>
          </m:r>
          <m:rad>
            <m:radPr>
              <m:degHide m:val="1"/>
            </m:radPr>
            <m:deg/>
            <m:e>
              <m:r>
                <m:t>π</m:t>
              </m:r>
            </m:e>
          </m:rad>
          <m:r>
            <m:t>.</m:t>
          </m:r>
        </m:oMath>
      </m:oMathPara>
    </w:p>
    <w:p>
      <w:pPr>
        <w:pStyle w:val="FirstParagraph"/>
      </w:pPr>
      <w:r>
        <w:t xml:space="preserve">The intuition here is that a field with short correlation range and small</w:t>
      </w:r>
      <w:r>
        <w:t xml:space="preserve"> </w:t>
      </w:r>
      <w:r>
        <w:t xml:space="preserve">variance will generate similar realizations to a field with long correlation</w:t>
      </w:r>
      <w:r>
        <w:t xml:space="preserve"> </w:t>
      </w:r>
      <w:r>
        <w:t xml:space="preserve">range and large marginal variance. In a model that includes all the specified</w:t>
      </w:r>
      <w:r>
        <w:t xml:space="preserve"> </w:t>
      </w:r>
      <w:r>
        <w:t xml:space="preserve">spatial and spatiotemporal effects, eight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and eight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parameters</w:t>
      </w:r>
      <w:r>
        <w:t xml:space="preserve"> </w:t>
      </w:r>
      <w:r>
        <w:t xml:space="preserve">must be estimated.</w:t>
      </w:r>
    </w:p>
    <w:bookmarkEnd w:id="22"/>
    <w:bookmarkStart w:id="30" w:name="progress"/>
    <w:p>
      <w:pPr>
        <w:pStyle w:val="Heading1"/>
      </w:pPr>
      <w:r>
        <w:t xml:space="preserve">Progress</w:t>
      </w:r>
    </w:p>
    <w:bookmarkStart w:id="23" w:name="bugs"/>
    <w:p>
      <w:pPr>
        <w:pStyle w:val="Heading2"/>
      </w:pPr>
      <w:r>
        <w:t xml:space="preserve">Bugs</w:t>
      </w:r>
    </w:p>
    <w:p>
      <w:pPr>
        <w:pStyle w:val="FirstParagraph"/>
      </w:pPr>
      <w:r>
        <w:t xml:space="preserve">At the beginning of the summer I was struggling to fit models with spatial and</w:t>
      </w:r>
      <w:r>
        <w:t xml:space="preserve"> </w:t>
      </w:r>
      <w:r>
        <w:t xml:space="preserve">spatiotemporal random fields for abundance, i.e. to be on par with the basic</w:t>
      </w:r>
      <w:r>
        <w:t xml:space="preserve"> </w:t>
      </w:r>
      <w:r>
        <w:t xml:space="preserve">functionality of VAST. I discovered and fixed two major bugs in my TMB model.</w:t>
      </w:r>
      <w:r>
        <w:t xml:space="preserve"> </w:t>
      </w:r>
      <w:r>
        <w:t xml:space="preserve">One covariance parameter was mis-indexed so that one parameter was shared by two</w:t>
      </w:r>
      <w:r>
        <w:t xml:space="preserve"> </w:t>
      </w:r>
      <w:r>
        <w:t xml:space="preserve">random fields and another was not used by the model at all. This fix was</w:t>
      </w:r>
      <w:r>
        <w:t xml:space="preserve"> </w:t>
      </w:r>
      <w:r>
        <w:t xml:space="preserve">straightforward once discovered. The second was a misunderstanding of how the</w:t>
      </w:r>
      <w:r>
        <w:t xml:space="preserve"> </w:t>
      </w:r>
      <w:r>
        <w:t xml:space="preserve">Eigen library can reshape a two-dimensional matrix into a vector. My</w:t>
      </w:r>
      <w:r>
        <w:t xml:space="preserve"> </w:t>
      </w:r>
      <w:r>
        <w:t xml:space="preserve">spatiotemporal random fields were originally two-dimensional matrices, with mesh</w:t>
      </w:r>
      <w:r>
        <w:t xml:space="preserve"> </w:t>
      </w:r>
      <w:r>
        <w:t xml:space="preserve">nodes as rows and years as columns. This was based on my understanding of the</w:t>
      </w:r>
      <w:r>
        <w:t xml:space="preserve"> </w:t>
      </w:r>
      <w:r>
        <w:t xml:space="preserve">facilities in TMB for separable spatiotemporal random fields and made</w:t>
      </w:r>
      <w:r>
        <w:t xml:space="preserve"> </w:t>
      </w:r>
      <w:r>
        <w:t xml:space="preserve">calculating the final indices of abundance simpler. However, I still needed a</w:t>
      </w:r>
      <w:r>
        <w:t xml:space="preserve"> </w:t>
      </w:r>
      <w:r>
        <w:t xml:space="preserve">single vector in order to calculate my linear predictor and project the field to</w:t>
      </w:r>
      <w:r>
        <w:t xml:space="preserve"> </w:t>
      </w:r>
      <w:r>
        <w:t xml:space="preserve">the observation locations.</w:t>
      </w:r>
    </w:p>
    <w:bookmarkEnd w:id="23"/>
    <w:bookmarkStart w:id="24" w:name="Xfe3101f21fdd951c4357c3edd11f6e275e5cde3"/>
    <w:p>
      <w:pPr>
        <w:pStyle w:val="Heading2"/>
      </w:pPr>
      <w:r>
        <w:t xml:space="preserve">Fitting data generated by the estimation model</w:t>
      </w:r>
    </w:p>
    <w:p>
      <w:pPr>
        <w:pStyle w:val="FirstParagraph"/>
      </w:pPr>
      <w:r>
        <w:t xml:space="preserve">The TMB model includes the ability to simulate observations from the estimation</w:t>
      </w:r>
      <w:r>
        <w:t xml:space="preserve"> </w:t>
      </w:r>
      <w:r>
        <w:t xml:space="preserve">model given a set of parameter values and observation locations. This simulated</w:t>
      </w:r>
      <w:r>
        <w:t xml:space="preserve"> </w:t>
      </w:r>
      <w:r>
        <w:t xml:space="preserve">data was used to test the model’s ability to recover generative parameters. The</w:t>
      </w:r>
      <w:r>
        <w:t xml:space="preserve"> </w:t>
      </w:r>
      <w:r>
        <w:t xml:space="preserve">model did well recovering parameter values, with some important caveats. The</w:t>
      </w:r>
      <w:r>
        <w:t xml:space="preserve"> </w:t>
      </w:r>
      <w:r>
        <w:t xml:space="preserve">primary issue is that the optimizer often gets stuck in areas of parameter space</w:t>
      </w:r>
      <w:r>
        <w:t xml:space="preserve"> </w:t>
      </w:r>
      <w:r>
        <w:t xml:space="preserve">where the Hessian is not positive definite. This can indicate that the parameter</w:t>
      </w:r>
      <w:r>
        <w:t xml:space="preserve"> </w:t>
      </w:r>
      <w:r>
        <w:t xml:space="preserve">values are at a saddle rather than a maximum, or be the result of numerical</w:t>
      </w:r>
      <w:r>
        <w:t xml:space="preserve"> </w:t>
      </w:r>
      <w:r>
        <w:t xml:space="preserve">issues when calculating the eigenvalues of a poorly conditioned matrix. The</w:t>
      </w:r>
      <w:r>
        <w:t xml:space="preserve"> </w:t>
      </w:r>
      <w:r>
        <w:t xml:space="preserve">optimizer consistently finds parameter values with a positive definite Hessian</w:t>
      </w:r>
      <w:r>
        <w:t xml:space="preserve"> </w:t>
      </w:r>
      <w:r>
        <w:t xml:space="preserve">when spatial and spatiotemporal abundance and spatial catchability are estimated,</w:t>
      </w:r>
      <w:r>
        <w:t xml:space="preserve"> </w:t>
      </w:r>
      <w:r>
        <w:t xml:space="preserve">along with their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parameters. Including spatiotemporal</w:t>
      </w:r>
      <w:r>
        <w:t xml:space="preserve"> </w:t>
      </w:r>
      <w:r>
        <w:t xml:space="preserve">catchability usually results in a non-positive definite Hessian. It is also</w:t>
      </w:r>
      <w:r>
        <w:t xml:space="preserve"> </w:t>
      </w:r>
      <w:r>
        <w:t xml:space="preserve">important to note that parameter values with positive definite Hessians are most</w:t>
      </w:r>
      <w:r>
        <w:t xml:space="preserve"> </w:t>
      </w:r>
      <w:r>
        <w:t xml:space="preserve">often found when the initial parameter values are very close to the final</w:t>
      </w:r>
      <w:r>
        <w:t xml:space="preserve"> </w:t>
      </w:r>
      <w:r>
        <w:t xml:space="preserve">values. In the case of data generated from the estimation model, the generative</w:t>
      </w:r>
      <w:r>
        <w:t xml:space="preserve"> </w:t>
      </w:r>
      <w:r>
        <w:t xml:space="preserve">values were used to initialize the optimization procedure.</w:t>
      </w:r>
    </w:p>
    <w:bookmarkEnd w:id="24"/>
    <w:bookmarkStart w:id="25" w:name="X7c7141b678e8d08e9b4afd229a050ce5f4eead9"/>
    <w:p>
      <w:pPr>
        <w:pStyle w:val="Heading2"/>
      </w:pPr>
      <w:r>
        <w:t xml:space="preserve">Where are the negative eigenvalues coming from?</w:t>
      </w:r>
    </w:p>
    <w:p>
      <w:pPr>
        <w:pStyle w:val="FirstParagraph"/>
      </w:pPr>
      <w:r>
        <w:t xml:space="preserve">For model fits whose hessian is not positive definite,</w:t>
      </w:r>
      <w:r>
        <w:t xml:space="preserve"> </w:t>
      </w:r>
      <w:r>
        <w:t xml:space="preserve"># Future</w:t>
      </w:r>
    </w:p>
    <w:p>
      <w:pPr>
        <w:pStyle w:val="BodyText"/>
      </w:pPr>
      <w:r>
        <w:t xml:space="preserve">At this point I would like to focus on fitting models with spatial and</w:t>
      </w:r>
      <w:r>
        <w:t xml:space="preserve"> </w:t>
      </w:r>
      <w:r>
        <w:t xml:space="preserve">spatiotemporal abundance random fields and spatial catchability random fields.</w:t>
      </w:r>
      <w:r>
        <w:t xml:space="preserve"> </w:t>
      </w:r>
      <w:r>
        <w:t xml:space="preserve">I may consider including spatiotemporal catchability random fields later, but I</w:t>
      </w:r>
      <w:r>
        <w:t xml:space="preserve"> </w:t>
      </w:r>
      <w:r>
        <w:t xml:space="preserve">would like to push forward in the direction that seems most promising.</w:t>
      </w:r>
    </w:p>
    <w:p>
      <w:pPr>
        <w:pStyle w:val="BodyText"/>
      </w:pPr>
      <w:r>
        <w:t xml:space="preserve">I have started fitting models using data simulated from the operating model I</w:t>
      </w:r>
      <w:r>
        <w:t xml:space="preserve"> </w:t>
      </w:r>
      <w:r>
        <w:t xml:space="preserve">have specified. Without</w:t>
      </w:r>
    </w:p>
    <w:bookmarkEnd w:id="25"/>
    <w:bookmarkStart w:id="26" w:name="dealing-with-initial-values"/>
    <w:p>
      <w:pPr>
        <w:pStyle w:val="Heading2"/>
      </w:pPr>
      <w:r>
        <w:t xml:space="preserve">Dealing with initial values</w:t>
      </w:r>
    </w:p>
    <w:p>
      <w:pPr>
        <w:pStyle w:val="FirstParagraph"/>
      </w:pPr>
      <w:r>
        <w:t xml:space="preserve">I am experimenting with using phasing (estimating fixed effects, then including</w:t>
      </w:r>
      <w:r>
        <w:t xml:space="preserve"> </w:t>
      </w:r>
      <w:r>
        <w:t xml:space="preserve">spatial abundance, then spatiotemporal abundance, and finally spatial catchability).</w:t>
      </w:r>
    </w:p>
    <w:bookmarkEnd w:id="26"/>
    <w:bookmarkStart w:id="29" w:name="Xea1b384eb27e2dea4ddd44fa4ac21864780ec5a"/>
    <w:p>
      <w:pPr>
        <w:pStyle w:val="Heading2"/>
      </w:pPr>
      <w:r>
        <w:t xml:space="preserve">Regularizing random field parameter estimates</w:t>
      </w:r>
    </w:p>
    <w:p>
      <w:pPr>
        <w:pStyle w:val="FirstParagraph"/>
      </w:pPr>
      <w:r>
        <w:t xml:space="preserve">Including a penalty term to keep the correlation range and marginal standard</w:t>
      </w:r>
      <w:r>
        <w:t xml:space="preserve"> </w:t>
      </w:r>
      <w:r>
        <w:t xml:space="preserve">deviation under control can stabilize the estimation of these parameters. The</w:t>
      </w:r>
      <w:r>
        <w:t xml:space="preserve"> </w:t>
      </w:r>
      <w:r>
        <w:t xml:space="preserve">penalized complexity framework aims to specify prior distributions for Bayesian</w:t>
      </w:r>
      <w:r>
        <w:t xml:space="preserve"> </w:t>
      </w:r>
      <w:r>
        <w:t xml:space="preserve">analysis that shrink models toward simpler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models</w:t>
      </w:r>
      <w:r>
        <w:rPr>
          <w:rStyle w:val="FootnoteReference"/>
        </w:rPr>
        <w:footnoteReference w:id="27"/>
      </w:r>
      <w:r>
        <w:t xml:space="preserve">. In the case of the</w:t>
      </w:r>
      <w:r>
        <w:t xml:space="preserve"> </w:t>
      </w:r>
      <w:r>
        <w:t xml:space="preserve">Gaussian random fields used here, penalized complexity priors can be used as</w:t>
      </w:r>
      <w:r>
        <w:t xml:space="preserve"> </w:t>
      </w:r>
      <w:r>
        <w:t xml:space="preserve">penalty terms for the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parameters. This prior/penalty tends</w:t>
      </w:r>
      <w:r>
        <w:t xml:space="preserve"> </w:t>
      </w:r>
      <w:r>
        <w:t xml:space="preserve">to shrink the Gaussian random field toward having an infinite correlation range</w:t>
      </w:r>
      <w:r>
        <w:t xml:space="preserve"> </w:t>
      </w:r>
      <w:r>
        <w:t xml:space="preserve">and zero variance, i.e. a constant. These priors are intuitively parameterized,</w:t>
      </w:r>
      <w:r>
        <w:t xml:space="preserve"> </w:t>
      </w:r>
      <w:r>
        <w:t xml:space="preserve">so that for some correlation range</w:t>
      </w:r>
      <w:r>
        <w:t xml:space="preserve"> </w:t>
      </w:r>
      <m:oMath>
        <m:sSub>
          <m:e>
            <m:r>
              <m:t>ρ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tail probability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(</m:t>
          </m:r>
          <m:r>
            <m:t>ρ</m:t>
          </m:r>
          <m:r>
            <m:t>&lt;</m:t>
          </m:r>
          <m:sSub>
            <m:e>
              <m:r>
                <m:t>ρ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Similarly, for a marginal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tail probability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(</m:t>
          </m:r>
          <m:r>
            <m:t>σ</m:t>
          </m:r>
          <m:r>
            <m:t>&gt;</m:t>
          </m:r>
          <m:sSub>
            <m:e>
              <m:r>
                <m:t>σ</m:t>
              </m:r>
            </m:e>
            <m:sub>
              <m:r>
                <m:t>0</m:t>
              </m:r>
            </m:sub>
          </m:sSub>
          <m:r>
            <m:t>∣</m:t>
          </m:r>
          <m:r>
            <m:t>ρ</m:t>
          </m:r>
          <m:r>
            <m:t>)</m:t>
          </m:r>
          <m:r>
            <m:t>=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The joint prior can be calculated in terms of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τ</m:t>
        </m:r>
      </m:oMath>
      <w:r>
        <w:t xml:space="preserve">, even when it</w:t>
      </w:r>
      <w:r>
        <w:t xml:space="preserve"> </w:t>
      </w:r>
      <w:r>
        <w:t xml:space="preserve">is parameterized in terms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</m:oMath>
      <w:r>
        <w:t xml:space="preserve">. Attempts to use this prior as</w:t>
      </w:r>
      <w:r>
        <w:t xml:space="preserve"> </w:t>
      </w:r>
      <w:r>
        <w:t xml:space="preserve">a penalty term have been promising, resulting in positive definite Hessians, but</w:t>
      </w:r>
      <w:r>
        <w:t xml:space="preserve"> </w:t>
      </w:r>
      <w:r>
        <w:t xml:space="preserve">more work is needed to validate the code and choose appropriate values of</w:t>
      </w:r>
      <w:r>
        <w:t xml:space="preserve"> </w:t>
      </w:r>
      <m:oMath>
        <m:sSub>
          <m:e>
            <m:r>
              <m:t>ρ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each estimated Gaussian random field.</w:t>
      </w:r>
    </w:p>
    <w:bookmarkEnd w:id="29"/>
    <w:bookmarkEnd w:id="30"/>
    <w:sectPr w:rsidR="006E0F9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Fuglstad et al., 2018.</w:t>
      </w:r>
      <w:r>
        <w:t xml:space="preserve"> </w:t>
      </w:r>
      <w:r>
        <w:rPr>
          <w:i/>
        </w:rPr>
        <w:t xml:space="preserve">Constructing priors that penalize the complexity of Gaussian random fields</w:t>
      </w:r>
      <w:r>
        <w:t xml:space="preserve">. J Am Stat Assoc.</w:t>
      </w:r>
      <w:r>
        <w:t xml:space="preserve"> </w:t>
      </w:r>
      <w:hyperlink r:id="rId21">
        <w:r>
          <w:rPr>
            <w:rStyle w:val="Hyperlink"/>
          </w:rPr>
          <w:t xml:space="preserve">https://doi.org/10/ggkqqb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Simpson et al., 2017.</w:t>
      </w:r>
      <w:r>
        <w:t xml:space="preserve"> </w:t>
      </w:r>
      <w:r>
        <w:rPr>
          <w:i/>
        </w:rPr>
        <w:t xml:space="preserve">Penalising model component complexity: a principled, practical approach to constructing priors</w:t>
      </w:r>
      <w:r>
        <w:t xml:space="preserve">. J Am Stat Assoc.</w:t>
      </w:r>
      <w:r>
        <w:t xml:space="preserve"> </w:t>
      </w:r>
      <w:hyperlink r:id="rId28">
        <w:r>
          <w:rPr>
            <w:rStyle w:val="Hyperlink"/>
          </w:rPr>
          <w:t xml:space="preserve">https://doi.org/10.1214/16-STS576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43698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F68A3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AD8A0E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92"/>
  </w:style>
  <w:style w:type="paragraph" w:styleId="Heading1">
    <w:name w:val="heading 1"/>
    <w:basedOn w:val="Normal"/>
    <w:next w:val="BodyText"/>
    <w:uiPriority w:val="9"/>
    <w:qFormat/>
    <w:rsid w:val="00180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0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80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804B0"/>
    <w:pPr>
      <w:spacing w:after="0" w:line="480" w:lineRule="auto"/>
      <w:ind w:firstLine="360"/>
    </w:pPr>
  </w:style>
  <w:style w:type="paragraph" w:customStyle="1" w:styleId="FirstParagraph">
    <w:name w:val="First Paragraph"/>
    <w:basedOn w:val="BodyText"/>
    <w:next w:val="BodyText"/>
    <w:qFormat/>
    <w:rsid w:val="001804B0"/>
    <w:pPr>
      <w:spacing w:before="16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6892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7A6892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804B0"/>
    <w:pPr>
      <w:keepNext/>
      <w:keepLines/>
      <w:spacing w:before="160" w:line="480" w:lineRule="auto"/>
    </w:pPr>
    <w:rPr>
      <w:szCs w:val="20"/>
    </w:rPr>
  </w:style>
  <w:style w:type="paragraph" w:styleId="Bibliography">
    <w:name w:val="Bibliography"/>
    <w:basedOn w:val="Normal"/>
    <w:qFormat/>
    <w:rsid w:val="001804B0"/>
    <w:pPr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7A68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689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6892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A6892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04B0"/>
  </w:style>
  <w:style w:type="paragraph" w:styleId="NormalIndent">
    <w:name w:val="Normal Indent"/>
    <w:basedOn w:val="Normal"/>
    <w:semiHidden/>
    <w:unhideWhenUsed/>
    <w:rsid w:val="007A68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214/16-STS576" TargetMode="External" /><Relationship Type="http://schemas.openxmlformats.org/officeDocument/2006/relationships/hyperlink" Id="rId21" Target="https://doi.org/10/ggkqq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214/16-STS576" TargetMode="External" /><Relationship Type="http://schemas.openxmlformats.org/officeDocument/2006/relationships/hyperlink" Id="rId21" Target="https://doi.org/10/ggkqq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TImes all the ti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1: Estimating spatially-varying catchability using fishery-independent and -dependent data</vt:lpstr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</dc:title>
  <dc:creator>John Best</dc:creator>
  <cp:keywords/>
  <dcterms:created xsi:type="dcterms:W3CDTF">2020-10-13T15:43:50Z</dcterms:created>
  <dcterms:modified xsi:type="dcterms:W3CDTF">2020-10-13T15:43:50Z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13, 2020</vt:lpwstr>
  </property>
</Properties>
</file>