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AC7E" w14:textId="531F1F80" w:rsidR="00AE1358" w:rsidRPr="002F5D7D" w:rsidRDefault="009650A6" w:rsidP="002F5D7D">
      <w:pPr>
        <w:pStyle w:val="Akapitzlist"/>
        <w:numPr>
          <w:ilvl w:val="0"/>
          <w:numId w:val="1"/>
        </w:numPr>
        <w:jc w:val="both"/>
      </w:pPr>
      <w:r w:rsidRPr="009650A6">
        <w:rPr>
          <w:rFonts w:ascii="Segoe UI" w:hAnsi="Segoe UI" w:cs="Segoe UI"/>
          <w:color w:val="191919"/>
          <w:shd w:val="clear" w:color="auto" w:fill="FFFFFF"/>
        </w:rPr>
        <w:t>Modelowanie danych to proces analizowania oraz definiowania danych zbieranych, a także relacji między tymi danymi. W procesie modelowania danych jest tworzona </w:t>
      </w:r>
      <w:hyperlink r:id="rId5" w:tgtFrame="_self" w:history="1">
        <w:r w:rsidRPr="009650A6">
          <w:rPr>
            <w:rStyle w:val="Hipercze"/>
            <w:rFonts w:ascii="Segoe UI" w:hAnsi="Segoe UI" w:cs="Segoe UI"/>
            <w:color w:val="000000"/>
            <w:u w:val="none"/>
            <w:shd w:val="clear" w:color="auto" w:fill="FFFFFF"/>
          </w:rPr>
          <w:t>graficzna reprezentacja danych</w:t>
        </w:r>
      </w:hyperlink>
      <w:r w:rsidRPr="009650A6">
        <w:rPr>
          <w:rFonts w:ascii="Segoe UI" w:hAnsi="Segoe UI" w:cs="Segoe UI"/>
          <w:color w:val="191919"/>
          <w:shd w:val="clear" w:color="auto" w:fill="FFFFFF"/>
        </w:rPr>
        <w:t>, a sam proces ułatwia zrozumienie i objaśnianie wymagań dotyczących tych danych.</w:t>
      </w:r>
      <w:r w:rsidR="002F5D7D">
        <w:rPr>
          <w:rFonts w:ascii="Segoe UI" w:hAnsi="Segoe UI" w:cs="Segoe UI"/>
          <w:color w:val="191919"/>
          <w:shd w:val="clear" w:color="auto" w:fill="FFFFFF"/>
        </w:rPr>
        <w:t xml:space="preserve"> Proces ten dzieli się na 3 etapy (modele): koncepcyjny, logiczny, fizyczny. </w:t>
      </w:r>
    </w:p>
    <w:p w14:paraId="6C08426C" w14:textId="49FB0410" w:rsidR="002F5D7D" w:rsidRPr="00436E69" w:rsidRDefault="00481A94" w:rsidP="002F5D7D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436E69">
        <w:rPr>
          <w:rFonts w:ascii="Segoe UI" w:hAnsi="Segoe UI" w:cs="Segoe UI"/>
          <w:color w:val="191919"/>
          <w:shd w:val="clear" w:color="auto" w:fill="FFFFFF"/>
        </w:rPr>
        <w:t>Kardynalność – typ związku między encjami:</w:t>
      </w:r>
    </w:p>
    <w:p w14:paraId="46060BF7" w14:textId="09F70DEB" w:rsidR="00481A94" w:rsidRPr="00436E69" w:rsidRDefault="00481A94" w:rsidP="00436E69">
      <w:pPr>
        <w:pStyle w:val="Akapitzlist"/>
        <w:numPr>
          <w:ilvl w:val="1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436E69">
        <w:rPr>
          <w:rFonts w:ascii="Segoe UI" w:hAnsi="Segoe UI" w:cs="Segoe UI"/>
          <w:color w:val="191919"/>
          <w:shd w:val="clear" w:color="auto" w:fill="FFFFFF"/>
        </w:rPr>
        <w:t>jeden do jeden (1:1</w:t>
      </w:r>
      <w:r w:rsidRPr="00436E69">
        <w:rPr>
          <w:rFonts w:ascii="Segoe UI" w:hAnsi="Segoe UI" w:cs="Segoe UI"/>
          <w:color w:val="191919"/>
          <w:shd w:val="clear" w:color="auto" w:fill="FFFFFF"/>
        </w:rPr>
        <w:t>) –</w:t>
      </w:r>
      <w:r w:rsidR="00C775DF" w:rsidRPr="00436E69">
        <w:rPr>
          <w:rFonts w:ascii="Segoe UI" w:hAnsi="Segoe UI" w:cs="Segoe UI"/>
          <w:color w:val="191919"/>
          <w:shd w:val="clear" w:color="auto" w:fill="FFFFFF"/>
        </w:rPr>
        <w:t xml:space="preserve"> osoba posiada jeden numer dowodu osobistego</w:t>
      </w:r>
    </w:p>
    <w:p w14:paraId="158B5008" w14:textId="26FD6922" w:rsidR="00481A94" w:rsidRPr="00436E69" w:rsidRDefault="00481A94" w:rsidP="00436E69">
      <w:pPr>
        <w:pStyle w:val="Akapitzlist"/>
        <w:numPr>
          <w:ilvl w:val="1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436E69">
        <w:rPr>
          <w:rFonts w:ascii="Segoe UI" w:hAnsi="Segoe UI" w:cs="Segoe UI"/>
          <w:color w:val="191919"/>
          <w:shd w:val="clear" w:color="auto" w:fill="FFFFFF"/>
        </w:rPr>
        <w:t xml:space="preserve"> jeden do wiele (</w:t>
      </w:r>
      <w:proofErr w:type="gramStart"/>
      <w:r w:rsidRPr="00436E69">
        <w:rPr>
          <w:rFonts w:ascii="Segoe UI" w:hAnsi="Segoe UI" w:cs="Segoe UI"/>
          <w:color w:val="191919"/>
          <w:shd w:val="clear" w:color="auto" w:fill="FFFFFF"/>
        </w:rPr>
        <w:t>1:N</w:t>
      </w:r>
      <w:proofErr w:type="gramEnd"/>
      <w:r w:rsidRPr="00436E69">
        <w:rPr>
          <w:rFonts w:ascii="Segoe UI" w:hAnsi="Segoe UI" w:cs="Segoe UI"/>
          <w:color w:val="191919"/>
          <w:shd w:val="clear" w:color="auto" w:fill="FFFFFF"/>
        </w:rPr>
        <w:t>)</w:t>
      </w:r>
      <w:r w:rsidR="00C775DF" w:rsidRPr="00436E69">
        <w:rPr>
          <w:rFonts w:ascii="Segoe UI" w:hAnsi="Segoe UI" w:cs="Segoe UI"/>
          <w:color w:val="191919"/>
          <w:shd w:val="clear" w:color="auto" w:fill="FFFFFF"/>
        </w:rPr>
        <w:t xml:space="preserve"> – osoba może złożyć wiele zamówień</w:t>
      </w:r>
    </w:p>
    <w:p w14:paraId="76CAF965" w14:textId="77777777" w:rsidR="00436E69" w:rsidRDefault="00481A94" w:rsidP="00436E69">
      <w:pPr>
        <w:pStyle w:val="Akapitzlist"/>
        <w:numPr>
          <w:ilvl w:val="1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436E69">
        <w:rPr>
          <w:rFonts w:ascii="Segoe UI" w:hAnsi="Segoe UI" w:cs="Segoe UI"/>
          <w:color w:val="191919"/>
          <w:shd w:val="clear" w:color="auto" w:fill="FFFFFF"/>
        </w:rPr>
        <w:t>wiele do wiele (</w:t>
      </w:r>
      <w:proofErr w:type="gramStart"/>
      <w:r w:rsidRPr="00436E69">
        <w:rPr>
          <w:rFonts w:ascii="Segoe UI" w:hAnsi="Segoe UI" w:cs="Segoe UI"/>
          <w:color w:val="191919"/>
          <w:shd w:val="clear" w:color="auto" w:fill="FFFFFF"/>
        </w:rPr>
        <w:t>M:N</w:t>
      </w:r>
      <w:proofErr w:type="gramEnd"/>
      <w:r w:rsidRPr="00436E69">
        <w:rPr>
          <w:rFonts w:ascii="Segoe UI" w:hAnsi="Segoe UI" w:cs="Segoe UI"/>
          <w:color w:val="191919"/>
          <w:shd w:val="clear" w:color="auto" w:fill="FFFFFF"/>
        </w:rPr>
        <w:t>)</w:t>
      </w:r>
      <w:r w:rsidR="00C775DF" w:rsidRPr="00436E69">
        <w:rPr>
          <w:rFonts w:ascii="Segoe UI" w:hAnsi="Segoe UI" w:cs="Segoe UI"/>
          <w:color w:val="191919"/>
          <w:shd w:val="clear" w:color="auto" w:fill="FFFFFF"/>
        </w:rPr>
        <w:t xml:space="preserve"> – dany produkt może występować na wielu zamówieniach,  zamówienie może posiadać wiele różnych produktów</w:t>
      </w:r>
    </w:p>
    <w:p w14:paraId="1826BC34" w14:textId="686EC95F" w:rsidR="00C775DF" w:rsidRDefault="00436E69" w:rsidP="00436E69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436E69">
        <w:rPr>
          <w:rFonts w:ascii="Segoe UI" w:hAnsi="Segoe UI" w:cs="Segoe UI"/>
          <w:color w:val="191919"/>
          <w:shd w:val="clear" w:color="auto" w:fill="FFFFFF"/>
        </w:rPr>
        <w:t xml:space="preserve">Normalizacja to proces organizowania danych w bazie danych. Obejmuje to tworzenie tabel i ustanawianie relacji między tymi tabelami zgodnie z regułami opracowanymi w celu zarówno ochrony danych, jak i zapewnienia większej elastyczności bazy danych przez wyeliminowanie </w:t>
      </w:r>
      <w:r>
        <w:rPr>
          <w:rFonts w:ascii="Segoe UI" w:hAnsi="Segoe UI" w:cs="Segoe UI"/>
          <w:color w:val="191919"/>
          <w:shd w:val="clear" w:color="auto" w:fill="FFFFFF"/>
        </w:rPr>
        <w:t>nadmiarowości</w:t>
      </w:r>
      <w:r w:rsidRPr="00436E69">
        <w:rPr>
          <w:rFonts w:ascii="Segoe UI" w:hAnsi="Segoe UI" w:cs="Segoe UI"/>
          <w:color w:val="191919"/>
          <w:shd w:val="clear" w:color="auto" w:fill="FFFFFF"/>
        </w:rPr>
        <w:t>. Nadmiarowe dane zajmują dodatkowe miejsce na dysku i przyczyniają się do problemów z konserwacją. Gdy trzeba zmienić dane istniejące w więcej niż jednym miejscu, dane we wszystkich tych lokalizacjach należy zmienić w dokładnie taki sam sposób.</w:t>
      </w:r>
    </w:p>
    <w:p w14:paraId="7D3030ED" w14:textId="392A9BBC" w:rsidR="000F7AC0" w:rsidRDefault="000F7AC0" w:rsidP="00436E69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 xml:space="preserve">Denormalizacja - </w:t>
      </w:r>
      <w:r w:rsidRPr="000F7AC0">
        <w:rPr>
          <w:rFonts w:ascii="Segoe UI" w:hAnsi="Segoe UI" w:cs="Segoe UI"/>
          <w:color w:val="191919"/>
          <w:shd w:val="clear" w:color="auto" w:fill="FFFFFF"/>
        </w:rPr>
        <w:t>tworzenie w niej danych redundantnych</w:t>
      </w:r>
      <w:r>
        <w:rPr>
          <w:rFonts w:ascii="Segoe UI" w:hAnsi="Segoe UI" w:cs="Segoe UI"/>
          <w:color w:val="191919"/>
          <w:shd w:val="clear" w:color="auto" w:fill="FFFFFF"/>
        </w:rPr>
        <w:t xml:space="preserve">, </w:t>
      </w:r>
      <w:r w:rsidRPr="000F7AC0">
        <w:rPr>
          <w:rFonts w:ascii="Segoe UI" w:hAnsi="Segoe UI" w:cs="Segoe UI"/>
          <w:color w:val="191919"/>
          <w:shd w:val="clear" w:color="auto" w:fill="FFFFFF"/>
        </w:rPr>
        <w:t xml:space="preserve">czyli wzajemne uwzględnianie kluczy lub kolumn pomiędzy tabelami, których częste łączenie jest oczekiwane. Każda tabela zawiera więc nie tylko te informacje, które są dla niej adekwatne. W rezultacie tabele są większe, ale zapytania mogą być szybsze. Ważne jest też użycie kluczy w </w:t>
      </w:r>
      <w:proofErr w:type="spellStart"/>
      <w:r w:rsidRPr="000F7AC0">
        <w:rPr>
          <w:rFonts w:ascii="Segoe UI" w:hAnsi="Segoe UI" w:cs="Segoe UI"/>
          <w:color w:val="191919"/>
          <w:shd w:val="clear" w:color="auto" w:fill="FFFFFF"/>
        </w:rPr>
        <w:t>zdenormalizowanych</w:t>
      </w:r>
      <w:proofErr w:type="spellEnd"/>
      <w:r w:rsidRPr="000F7AC0">
        <w:rPr>
          <w:rFonts w:ascii="Segoe UI" w:hAnsi="Segoe UI" w:cs="Segoe UI"/>
          <w:color w:val="191919"/>
          <w:shd w:val="clear" w:color="auto" w:fill="FFFFFF"/>
        </w:rPr>
        <w:t xml:space="preserve"> tabelach (klucze podstawowe i obce), co powoduje znacznie szybsze przetwarzanie danych.</w:t>
      </w:r>
    </w:p>
    <w:p w14:paraId="32A559EF" w14:textId="1B09D1B8" w:rsidR="00E16F79" w:rsidRDefault="00E16F79" w:rsidP="00E16F79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E16F79">
        <w:rPr>
          <w:rFonts w:ascii="Segoe UI" w:hAnsi="Segoe UI" w:cs="Segoe UI"/>
          <w:color w:val="191919"/>
          <w:shd w:val="clear" w:color="auto" w:fill="FFFFFF"/>
        </w:rPr>
        <w:t xml:space="preserve">Data </w:t>
      </w:r>
      <w:proofErr w:type="spellStart"/>
      <w:r w:rsidRPr="00E16F79">
        <w:rPr>
          <w:rFonts w:ascii="Segoe UI" w:hAnsi="Segoe UI" w:cs="Segoe UI"/>
          <w:color w:val="191919"/>
          <w:shd w:val="clear" w:color="auto" w:fill="FFFFFF"/>
        </w:rPr>
        <w:t>marty</w:t>
      </w:r>
      <w:proofErr w:type="spellEnd"/>
      <w:r w:rsidRPr="00E16F79">
        <w:rPr>
          <w:rFonts w:ascii="Segoe UI" w:hAnsi="Segoe UI" w:cs="Segoe UI"/>
          <w:color w:val="191919"/>
          <w:shd w:val="clear" w:color="auto" w:fill="FFFFFF"/>
        </w:rPr>
        <w:t xml:space="preserve"> są tworzone w celu zapewnienia wsparcia procesu podejmowania decyzji osobom odpowiedzialnym za konkretny obszar biznesowy.</w:t>
      </w:r>
      <w:r w:rsidR="00780807">
        <w:rPr>
          <w:rFonts w:ascii="Segoe UI" w:hAnsi="Segoe UI" w:cs="Segoe UI"/>
          <w:color w:val="191919"/>
          <w:shd w:val="clear" w:color="auto" w:fill="FFFFFF"/>
        </w:rPr>
        <w:t xml:space="preserve"> </w:t>
      </w:r>
      <w:r w:rsidRPr="00E16F79">
        <w:rPr>
          <w:rFonts w:ascii="Segoe UI" w:hAnsi="Segoe UI" w:cs="Segoe UI"/>
          <w:color w:val="191919"/>
          <w:shd w:val="clear" w:color="auto" w:fill="FFFFFF"/>
        </w:rPr>
        <w:t>Hurtownia danych operuje na poziomie korporacyjnym danych, przy czym Tematyczna Hurtownia Danych jest używana z reguły przez jeden wydział i dane w niej zawarte dotyczą jednego konkretnego tematu biznesowego.</w:t>
      </w:r>
      <w:r w:rsidR="00780807">
        <w:rPr>
          <w:rFonts w:ascii="Segoe UI" w:hAnsi="Segoe UI" w:cs="Segoe UI"/>
          <w:color w:val="191919"/>
          <w:shd w:val="clear" w:color="auto" w:fill="FFFFFF"/>
        </w:rPr>
        <w:t xml:space="preserve"> </w:t>
      </w:r>
      <w:r w:rsidRPr="00E16F79">
        <w:rPr>
          <w:rFonts w:ascii="Segoe UI" w:hAnsi="Segoe UI" w:cs="Segoe UI"/>
          <w:color w:val="191919"/>
          <w:shd w:val="clear" w:color="auto" w:fill="FFFFFF"/>
        </w:rPr>
        <w:t xml:space="preserve">Typowa i najczęściej spotykana architektura korporacyjnej hurtowni danych składa się z jednej globalnej hurtowni danych i bezpośrednio zależnych i </w:t>
      </w:r>
      <w:r w:rsidR="00780807" w:rsidRPr="00E16F79">
        <w:rPr>
          <w:rFonts w:ascii="Segoe UI" w:hAnsi="Segoe UI" w:cs="Segoe UI"/>
          <w:color w:val="191919"/>
          <w:shd w:val="clear" w:color="auto" w:fill="FFFFFF"/>
        </w:rPr>
        <w:t>czerpiących</w:t>
      </w:r>
      <w:r w:rsidRPr="00E16F79">
        <w:rPr>
          <w:rFonts w:ascii="Segoe UI" w:hAnsi="Segoe UI" w:cs="Segoe UI"/>
          <w:color w:val="191919"/>
          <w:shd w:val="clear" w:color="auto" w:fill="FFFFFF"/>
        </w:rPr>
        <w:t xml:space="preserve"> z niej dane data </w:t>
      </w:r>
      <w:proofErr w:type="spellStart"/>
      <w:r w:rsidRPr="00E16F79">
        <w:rPr>
          <w:rFonts w:ascii="Segoe UI" w:hAnsi="Segoe UI" w:cs="Segoe UI"/>
          <w:color w:val="191919"/>
          <w:shd w:val="clear" w:color="auto" w:fill="FFFFFF"/>
        </w:rPr>
        <w:t>martów</w:t>
      </w:r>
      <w:proofErr w:type="spellEnd"/>
      <w:r w:rsidRPr="00E16F79">
        <w:rPr>
          <w:rFonts w:ascii="Segoe UI" w:hAnsi="Segoe UI" w:cs="Segoe UI"/>
          <w:color w:val="191919"/>
          <w:shd w:val="clear" w:color="auto" w:fill="FFFFFF"/>
        </w:rPr>
        <w:t>.</w:t>
      </w:r>
      <w:r>
        <w:rPr>
          <w:rFonts w:ascii="Segoe UI" w:hAnsi="Segoe UI" w:cs="Segoe UI"/>
          <w:color w:val="191919"/>
          <w:shd w:val="clear" w:color="auto" w:fill="FFFFFF"/>
        </w:rPr>
        <w:t xml:space="preserve"> </w:t>
      </w:r>
      <w:r w:rsidRPr="00E16F79">
        <w:rPr>
          <w:rFonts w:ascii="Segoe UI" w:hAnsi="Segoe UI" w:cs="Segoe UI"/>
          <w:color w:val="191919"/>
          <w:shd w:val="clear" w:color="auto" w:fill="FFFFFF"/>
        </w:rPr>
        <w:t xml:space="preserve">Kluczową sprawą jest utrzymywanie spójności pomiędzy hurtownią danych a data </w:t>
      </w:r>
      <w:proofErr w:type="spellStart"/>
      <w:r w:rsidRPr="00E16F79">
        <w:rPr>
          <w:rFonts w:ascii="Segoe UI" w:hAnsi="Segoe UI" w:cs="Segoe UI"/>
          <w:color w:val="191919"/>
          <w:shd w:val="clear" w:color="auto" w:fill="FFFFFF"/>
        </w:rPr>
        <w:t>martami</w:t>
      </w:r>
      <w:proofErr w:type="spellEnd"/>
      <w:r w:rsidRPr="00E16F79">
        <w:rPr>
          <w:rFonts w:ascii="Segoe UI" w:hAnsi="Segoe UI" w:cs="Segoe UI"/>
          <w:color w:val="191919"/>
          <w:shd w:val="clear" w:color="auto" w:fill="FFFFFF"/>
        </w:rPr>
        <w:t xml:space="preserve"> w obszarze definicji, aktualizacji i zarządzania. Jeżeli warunki te nie zostaną spełnione, to misja hurtowni danych bycia źródłem ‘jedynej wersji prawdy’ będzie niemożliwa.</w:t>
      </w:r>
    </w:p>
    <w:p w14:paraId="0D423447" w14:textId="75B5C063" w:rsidR="00780807" w:rsidRPr="00780807" w:rsidRDefault="00780807" w:rsidP="00780807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color w:val="191919"/>
          <w:shd w:val="clear" w:color="auto" w:fill="FFFFFF"/>
        </w:rPr>
      </w:pPr>
      <w:r w:rsidRPr="00780807">
        <w:rPr>
          <w:rFonts w:ascii="Segoe UI" w:hAnsi="Segoe UI" w:cs="Segoe UI"/>
          <w:color w:val="191919"/>
          <w:shd w:val="clear" w:color="auto" w:fill="FFFFFF"/>
        </w:rPr>
        <w:t>Kostka OLAP – </w:t>
      </w:r>
      <w:hyperlink r:id="rId6" w:tooltip="Struktura danych" w:history="1">
        <w:r w:rsidRPr="00780807">
          <w:rPr>
            <w:rFonts w:ascii="Segoe UI" w:hAnsi="Segoe UI" w:cs="Segoe UI"/>
            <w:color w:val="191919"/>
            <w:shd w:val="clear" w:color="auto" w:fill="FFFFFF"/>
          </w:rPr>
          <w:t>struktura danych</w:t>
        </w:r>
      </w:hyperlink>
      <w:r w:rsidRPr="00780807">
        <w:rPr>
          <w:rFonts w:ascii="Segoe UI" w:hAnsi="Segoe UI" w:cs="Segoe UI"/>
          <w:color w:val="191919"/>
          <w:shd w:val="clear" w:color="auto" w:fill="FFFFFF"/>
        </w:rPr>
        <w:t>, która pozwala na szybką </w:t>
      </w:r>
      <w:hyperlink r:id="rId7" w:tooltip="Analiza danych" w:history="1">
        <w:r w:rsidRPr="00780807">
          <w:rPr>
            <w:rFonts w:ascii="Segoe UI" w:hAnsi="Segoe UI" w:cs="Segoe UI"/>
            <w:color w:val="191919"/>
            <w:shd w:val="clear" w:color="auto" w:fill="FFFFFF"/>
          </w:rPr>
          <w:t>analizę danych</w:t>
        </w:r>
      </w:hyperlink>
      <w:r w:rsidRPr="00780807">
        <w:rPr>
          <w:rFonts w:ascii="Segoe UI" w:hAnsi="Segoe UI" w:cs="Segoe UI"/>
          <w:color w:val="191919"/>
          <w:shd w:val="clear" w:color="auto" w:fill="FFFFFF"/>
        </w:rPr>
        <w:t>. Przechowuje ona dane w sposób bardziej przypominający wielowymiarowe </w:t>
      </w:r>
      <w:hyperlink r:id="rId8" w:tooltip="Arkusz kalkulacyjny" w:history="1">
        <w:r w:rsidRPr="00780807">
          <w:rPr>
            <w:rFonts w:ascii="Segoe UI" w:hAnsi="Segoe UI" w:cs="Segoe UI"/>
            <w:color w:val="191919"/>
            <w:shd w:val="clear" w:color="auto" w:fill="FFFFFF"/>
          </w:rPr>
          <w:t>arkusze kalkulacyjne</w:t>
        </w:r>
      </w:hyperlink>
      <w:r w:rsidRPr="00780807">
        <w:rPr>
          <w:rFonts w:ascii="Segoe UI" w:hAnsi="Segoe UI" w:cs="Segoe UI"/>
          <w:color w:val="191919"/>
          <w:shd w:val="clear" w:color="auto" w:fill="FFFFFF"/>
        </w:rPr>
        <w:t> niż tradycyjną, relacyjną bazę danych. Można ją również zdefiniować jako zdolność manipulowania i analizowania danych z różnych punktów widzenia. Rozmieszczenie danych w kostkach pokonuje ograniczenia </w:t>
      </w:r>
      <w:hyperlink r:id="rId9" w:tooltip="Model relacyjny" w:history="1">
        <w:r w:rsidRPr="00780807">
          <w:rPr>
            <w:rFonts w:ascii="Segoe UI" w:hAnsi="Segoe UI" w:cs="Segoe UI"/>
            <w:color w:val="191919"/>
            <w:shd w:val="clear" w:color="auto" w:fill="FFFFFF"/>
          </w:rPr>
          <w:t>relacyjnych baz danych</w:t>
        </w:r>
      </w:hyperlink>
      <w:r w:rsidRPr="00780807">
        <w:rPr>
          <w:rFonts w:ascii="Segoe UI" w:hAnsi="Segoe UI" w:cs="Segoe UI"/>
          <w:color w:val="191919"/>
          <w:shd w:val="clear" w:color="auto" w:fill="FFFFFF"/>
        </w:rPr>
        <w:t>.</w:t>
      </w:r>
      <w:r w:rsidRPr="00780807">
        <w:rPr>
          <w:rFonts w:ascii="Segoe UI" w:hAnsi="Segoe UI" w:cs="Segoe UI"/>
          <w:color w:val="191919"/>
          <w:shd w:val="clear" w:color="auto" w:fill="FFFFFF"/>
        </w:rPr>
        <w:t xml:space="preserve"> </w:t>
      </w:r>
      <w:r w:rsidRPr="00780807">
        <w:rPr>
          <w:rFonts w:ascii="Segoe UI" w:hAnsi="Segoe UI" w:cs="Segoe UI"/>
          <w:color w:val="191919"/>
          <w:shd w:val="clear" w:color="auto" w:fill="FFFFFF"/>
        </w:rPr>
        <w:t xml:space="preserve">Kostki OLAP mogą być uważane za rozszerzenie dwuwymiarowej tabeli arkusza kalkulacyjnego. Na przykład przedsiębiorstwo może chcieć dokonać analizy danych finansowych w oparciu o produkt, czas, miasto, według rodzaju dochodu i kosztu i poprzez porównanie rzeczywistych danych z budżetem. Te dodatkowe metody dokonywania rozbioru danych są znane jako wymiary. </w:t>
      </w:r>
    </w:p>
    <w:p w14:paraId="1D07E951" w14:textId="77777777" w:rsidR="00780807" w:rsidRPr="00436E69" w:rsidRDefault="00780807" w:rsidP="00780807">
      <w:pPr>
        <w:pStyle w:val="Akapitzlist"/>
        <w:jc w:val="both"/>
        <w:rPr>
          <w:rFonts w:ascii="Segoe UI" w:hAnsi="Segoe UI" w:cs="Segoe UI"/>
          <w:color w:val="191919"/>
          <w:shd w:val="clear" w:color="auto" w:fill="FFFFFF"/>
        </w:rPr>
      </w:pPr>
    </w:p>
    <w:sectPr w:rsidR="00780807" w:rsidRPr="00436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86375"/>
    <w:multiLevelType w:val="hybridMultilevel"/>
    <w:tmpl w:val="DA429F08"/>
    <w:lvl w:ilvl="0" w:tplc="A53A529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91919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A6"/>
    <w:rsid w:val="000F7AC0"/>
    <w:rsid w:val="002F5D7D"/>
    <w:rsid w:val="00436E69"/>
    <w:rsid w:val="00481A94"/>
    <w:rsid w:val="00780807"/>
    <w:rsid w:val="00887F5A"/>
    <w:rsid w:val="009650A6"/>
    <w:rsid w:val="00AE1358"/>
    <w:rsid w:val="00C775DF"/>
    <w:rsid w:val="00E1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E1E9"/>
  <w15:chartTrackingRefBased/>
  <w15:docId w15:val="{3E914B6F-FD80-4854-95D0-670D249D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650A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650A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3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780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rkusz_kalkulacyj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naliza_dany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truktura_dany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werbi.microsoft.com/pl-pl/data-visualiz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Model_relacyjn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509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Ślazyk</dc:creator>
  <cp:keywords/>
  <dc:description/>
  <cp:lastModifiedBy>Jakub Ślazyk</cp:lastModifiedBy>
  <cp:revision>1</cp:revision>
  <dcterms:created xsi:type="dcterms:W3CDTF">2022-06-19T19:27:00Z</dcterms:created>
  <dcterms:modified xsi:type="dcterms:W3CDTF">2022-06-19T20:13:00Z</dcterms:modified>
</cp:coreProperties>
</file>