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0B5D4F"/>
          <w:spacing w:val="60"/>
          <w:sz w:val="22"/>
          <w:szCs w:val="22"/>
        </w:rPr>
        <w:t xml:space="preserve">INFORME TÉCNICO</w:t>
      </w:r>
    </w:p>
    <w:p>
      <w:pPr>
        <w:pStyle w:val="Title"/>
        <w:spacing w:after="240"/>
      </w:pPr>
      <w:r>
        <w:t xml:space="preserve">Informe Técnico de Mercado Farmacéutico de Salud Animal en Colombia</w:t>
      </w:r>
    </w:p>
    <w:p>
      <w:pPr>
        <w:spacing w:after="500"/>
      </w:pPr>
      <w:r>
        <w:rPr>
          <w:color w:val="5E6E69"/>
          <w:sz w:val="26"/>
          <w:szCs w:val="26"/>
        </w:rPr>
        <w:t xml:space="preserve">Proyección del crecimiento 2027 del mercado y de las ventas del Laboratorio, con simulador de escenarios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400"/>
        <w:gridCol w:w="6960"/>
      </w:tblGrid>
      <w:tr>
        <w:trPr>
          <w:cantSplit/>
          <w:tblHeader/>
        </w:trPr>
        <w:tc>
          <w:tcPr>
            <w:tcW w:type="dxa" w:w="2400"/>
            <w:shd w:fill="E4EEEB" w:color="auto" w:val="clear"/>
            <w:tcMar>
              <w:top w:type="dxa" w:w="50"/>
              <w:left w:type="dxa" w:w="90"/>
              <w:bottom w:type="dxa" w:w="50"/>
              <w:right w:type="dxa" w:w="90"/>
            </w:tcMar>
            <w:vAlign w:val="center"/>
          </w:tcPr>
          <w:p>
            <w:pPr>
              <w:spacing w:after="20"/>
              <w:jc w:val="left"/>
            </w:pPr>
            <w:r>
              <w:rPr>
                <w:b/>
                <w:bCs/>
                <w:sz w:val="18"/>
                <w:szCs w:val="18"/>
              </w:rPr>
              <w:t xml:space="preserve">Campo</w:t>
            </w:r>
          </w:p>
        </w:tc>
        <w:tc>
          <w:tcPr>
            <w:tcW w:type="dxa" w:w="6960"/>
            <w:shd w:fill="E4EEEB" w:color="auto" w:val="clear"/>
            <w:tcMar>
              <w:top w:type="dxa" w:w="50"/>
              <w:left w:type="dxa" w:w="90"/>
              <w:bottom w:type="dxa" w:w="50"/>
              <w:right w:type="dxa" w:w="90"/>
            </w:tcMar>
            <w:vAlign w:val="center"/>
          </w:tcPr>
          <w:p>
            <w:pPr>
              <w:spacing w:after="20"/>
              <w:jc w:val="left"/>
            </w:pPr>
            <w:r>
              <w:rPr>
                <w:b/>
                <w:bCs/>
                <w:sz w:val="18"/>
                <w:szCs w:val="18"/>
              </w:rPr>
              <w:t xml:space="preserve">Detalle</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Versión</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Borrador 2, octubre de 2026 (protocolo experimental v2)</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Organización</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Zoetis Colombia (en este informe, "el Laboratorio")</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Equipo</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Juan Cuellar Chaparro (Jefe)</w:t>
            </w:r>
          </w:p>
          <w:p>
            <w:pPr>
              <w:spacing w:after="20"/>
              <w:jc w:val="left"/>
            </w:pPr>
            <w:r>
              <w:rPr>
                <w:b w:val="false"/>
                <w:bCs w:val="false"/>
                <w:sz w:val="18"/>
                <w:szCs w:val="18"/>
              </w:rPr>
              <w:t xml:space="preserve">Oscar Hernandez Alomia (Líder)</w:t>
            </w:r>
          </w:p>
          <w:p>
            <w:pPr>
              <w:spacing w:after="20"/>
              <w:jc w:val="left"/>
            </w:pPr>
            <w:r>
              <w:rPr>
                <w:b w:val="false"/>
                <w:bCs w:val="false"/>
                <w:sz w:val="18"/>
                <w:szCs w:val="18"/>
              </w:rPr>
              <w:t xml:space="preserve">Mariana Jaramillo Naranjo (Crack)</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Código, datos y cuaderno</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github.com/jkcuellarc-del/MercadoFarma, rama claude/nifty-ritchie-baueku</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Simulador (versión web)</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claude.ai/artifact/WpUvY3RBuvs6sNJ4LK84mc (privado; ver Sección 6.8)</w:t>
            </w:r>
          </w:p>
        </w:tc>
      </w:tr>
      <w:tr>
        <w:trPr>
          <w:cantSplit/>
        </w:trPr>
        <w:tc>
          <w:tcPr>
            <w:tcW w:type="dxa" w:w="2400"/>
            <w:tcMar>
              <w:top w:type="dxa" w:w="50"/>
              <w:left w:type="dxa" w:w="90"/>
              <w:bottom w:type="dxa" w:w="50"/>
              <w:right w:type="dxa" w:w="90"/>
            </w:tcMar>
            <w:vAlign w:val="center"/>
          </w:tcPr>
          <w:p>
            <w:pPr>
              <w:spacing w:after="20"/>
              <w:jc w:val="left"/>
            </w:pPr>
            <w:r>
              <w:rPr>
                <w:b/>
                <w:bCs/>
                <w:sz w:val="18"/>
                <w:szCs w:val="18"/>
              </w:rPr>
              <w:t xml:space="preserve">Convención</w:t>
            </w:r>
          </w:p>
        </w:tc>
        <w:tc>
          <w:tcPr>
            <w:tcW w:type="dxa" w:w="6960"/>
            <w:tcMar>
              <w:top w:type="dxa" w:w="50"/>
              <w:left w:type="dxa" w:w="90"/>
              <w:bottom w:type="dxa" w:w="50"/>
              <w:right w:type="dxa" w:w="90"/>
            </w:tcMar>
            <w:vAlign w:val="center"/>
          </w:tcPr>
          <w:p>
            <w:pPr>
              <w:spacing w:after="20"/>
              <w:jc w:val="left"/>
            </w:pPr>
            <w:r>
              <w:rPr>
                <w:b w:val="false"/>
                <w:bCs w:val="false"/>
                <w:sz w:val="18"/>
                <w:szCs w:val="18"/>
              </w:rPr>
              <w:t xml:space="preserve">El texto resaltado en amarillo es información que solo el equipo puede confirmar.</w:t>
            </w:r>
          </w:p>
        </w:tc>
      </w:tr>
    </w:tbl>
    <w:p>
      <w:pPr>
        <w:pStyle w:val="Heading1"/>
        <w:pageBreakBefore/>
      </w:pPr>
      <w:r>
        <w:t xml:space="preserve">Resumen</w:t>
      </w:r>
    </w:p>
    <w:p>
      <w:pPr>
        <w:spacing w:after="120" w:line="276"/>
      </w:pPr>
      <w:r>
        <w:t xml:space="preserve">Zoetis Colombia necesita una referencia de cuánto crecerá en 2027 el mercado farmacéutico de salud animal y cuánto crecerán sus propias ventas, por especie (animales de compañía, bovinos, cerdos y aves). Con las ventas mensuales de 2020-01 a 2026-06 (8.268 filas, 25 columnas) y variables económicas y de precios, se compararon diez modelos con validación cruzada por bloques de tiempo con purga, dentro de un Pipeline y con los datos de 2026 sellados durante todo el desarrollo.</w:t>
      </w:r>
    </w:p>
    <w:p>
      <w:pPr>
        <w:pStyle w:val="ListParagraph"/>
        <w:numPr>
          <w:ilvl w:val="0"/>
          <w:numId w:val="2"/>
        </w:numPr>
        <w:spacing w:after="60" w:line="264"/>
      </w:pPr>
      <w:r>
        <w:rPr>
          <w:b/>
          <w:bCs/>
        </w:rPr>
        <w:t xml:space="preserve">Proyección base 2027 (nominal):</w:t>
      </w:r>
      <w:r>
        <w:t xml:space="preserve"> mercado 15,4% con el modelo elegido por la regla de selección (A) y 13,7% con Gradient Boosting (B); ventas del Laboratorio 20,6% (A) y 22,3% (B). Margen de error típico: ±5,6 puntos en el mercado y ±5,7 en el Laboratorio.</w:t>
      </w:r>
    </w:p>
    <w:p>
      <w:pPr>
        <w:pStyle w:val="ListParagraph"/>
        <w:numPr>
          <w:ilvl w:val="0"/>
          <w:numId w:val="2"/>
        </w:numPr>
        <w:spacing w:after="60" w:line="264"/>
      </w:pPr>
      <w:r>
        <w:rPr>
          <w:b/>
          <w:bCs/>
        </w:rPr>
        <w:t xml:space="preserve">Evidencia del examen (enero a junio de 2026):</w:t>
      </w:r>
      <w:r>
        <w:t xml:space="preserve"> el modelo A </w:t>
      </w:r>
      <w:r>
        <w:rPr>
          <w:b/>
          <w:bCs/>
        </w:rPr>
        <w:t xml:space="preserve">no superó</w:t>
      </w:r>
      <w:r>
        <w:t xml:space="preserve"> a los métodos sencillos (mercado: 9,2 pp frente a 8,7 y 8,4; Laboratorio: 4,4 frente a 4,1 y 6,3). Gradient Boosting tuvo el menor error en validación y en el examen (7,2 y 3,7 pp), pero se incorporó después de ver el examen.</w:t>
      </w:r>
    </w:p>
    <w:p>
      <w:pPr>
        <w:pStyle w:val="ListParagraph"/>
        <w:numPr>
          <w:ilvl w:val="0"/>
          <w:numId w:val="2"/>
        </w:numPr>
        <w:spacing w:after="60" w:line="264"/>
      </w:pPr>
      <w:r>
        <w:rPr>
          <w:b/>
          <w:bCs/>
        </w:rPr>
        <w:t xml:space="preserve">Límite central:</w:t>
      </w:r>
      <w:r>
        <w:t xml:space="preserve"> cinco años de historia y variables macroeconómicas anuales. Los precios reales de la carne de cerdo y del huevo son las variables con señal; el PIB, el salario mínimo y la TRM no aportan. Los efectos son pequeños y aproximados.</w:t>
      </w:r>
    </w:p>
    <w:p>
      <w:pPr>
        <w:pStyle w:val="ListParagraph"/>
        <w:numPr>
          <w:ilvl w:val="0"/>
          <w:numId w:val="2"/>
        </w:numPr>
        <w:spacing w:after="60" w:line="264"/>
      </w:pPr>
      <w:r>
        <w:rPr>
          <w:b/>
          <w:bCs/>
        </w:rPr>
        <w:t xml:space="preserve">Recomendación:</w:t>
      </w:r>
      <w:r>
        <w:t xml:space="preserve"> usar la proyección como referencia con rango entre los modelos A y B, no como meta puntual; no usar la alerta de escenario "regular" como señal operativa; y revalidar con los datos de julio a diciembre de 2026.</w:t>
      </w:r>
    </w:p>
    <w:p>
      <w:pPr>
        <w:spacing w:after="80" w:before="200"/>
      </w:pPr>
      <w:r>
        <w:rPr>
          <w:b/>
          <w:bCs/>
          <w:color w:val="0B5D4F"/>
          <w:sz w:val="24"/>
          <w:szCs w:val="24"/>
        </w:rPr>
        <w:t xml:space="preserve">Contenido</w:t>
      </w:r>
    </w:p>
    <w:p>
      <w:pPr>
        <w:spacing w:after="40"/>
      </w:pPr>
      <w:r>
        <w:rPr>
          <w:sz w:val="22"/>
          <w:szCs w:val="22"/>
        </w:rPr>
        <w:t xml:space="preserve">1. Problema y decisión</w:t>
      </w:r>
    </w:p>
    <w:p>
      <w:pPr>
        <w:spacing w:after="40"/>
      </w:pPr>
      <w:r>
        <w:rPr>
          <w:sz w:val="22"/>
          <w:szCs w:val="22"/>
        </w:rPr>
        <w:t xml:space="preserve">2. Datos</w:t>
      </w:r>
    </w:p>
    <w:p>
      <w:pPr>
        <w:spacing w:after="40"/>
      </w:pPr>
      <w:r>
        <w:rPr>
          <w:sz w:val="22"/>
          <w:szCs w:val="22"/>
        </w:rPr>
        <w:t xml:space="preserve">3. Preparación y diseño experimental</w:t>
      </w:r>
    </w:p>
    <w:p>
      <w:pPr>
        <w:spacing w:after="40"/>
      </w:pPr>
      <w:r>
        <w:rPr>
          <w:sz w:val="22"/>
          <w:szCs w:val="22"/>
        </w:rPr>
        <w:t xml:space="preserve">4. Modelado</w:t>
      </w:r>
    </w:p>
    <w:p>
      <w:pPr>
        <w:spacing w:after="40"/>
      </w:pPr>
      <w:r>
        <w:rPr>
          <w:sz w:val="22"/>
          <w:szCs w:val="22"/>
        </w:rPr>
        <w:t xml:space="preserve">5. Evaluación</w:t>
      </w:r>
    </w:p>
    <w:p>
      <w:pPr>
        <w:spacing w:after="40"/>
      </w:pPr>
      <w:r>
        <w:rPr>
          <w:sz w:val="22"/>
          <w:szCs w:val="22"/>
        </w:rPr>
        <w:t xml:space="preserve">6. Decisión, límites y gobernanza</w:t>
      </w:r>
    </w:p>
    <w:p>
      <w:pPr>
        <w:spacing w:after="40"/>
      </w:pPr>
      <w:r>
        <w:rPr>
          <w:sz w:val="22"/>
          <w:szCs w:val="22"/>
        </w:rPr>
        <w:t xml:space="preserve">7. Roles y trabajo en equipo</w:t>
      </w:r>
    </w:p>
    <w:p>
      <w:pPr>
        <w:spacing w:after="40"/>
      </w:pPr>
      <w:r>
        <w:rPr>
          <w:sz w:val="22"/>
          <w:szCs w:val="22"/>
        </w:rPr>
        <w:t xml:space="preserve">Anexo A. Fuentes de datos (APA 7)</w:t>
      </w:r>
    </w:p>
    <w:p>
      <w:pPr>
        <w:spacing w:after="40"/>
      </w:pPr>
      <w:r>
        <w:rPr>
          <w:sz w:val="22"/>
          <w:szCs w:val="22"/>
        </w:rPr>
        <w:t xml:space="preserve">Anexo B. Reproducibilidad</w:t>
      </w:r>
    </w:p>
    <w:p>
      <w:pPr>
        <w:pStyle w:val="Heading1"/>
        <w:pageBreakBefore/>
        <w:spacing w:after="200" w:before="120"/>
      </w:pPr>
      <w:r>
        <w:t xml:space="preserve">1. Problema y decisión</w:t>
      </w:r>
    </w:p>
    <w:p>
      <w:pPr>
        <w:pStyle w:val="Heading2"/>
      </w:pPr>
      <w:r>
        <w:t xml:space="preserve">1.1 Contexto</w:t>
      </w:r>
    </w:p>
    <w:p>
      <w:pPr>
        <w:spacing w:after="120" w:line="276"/>
      </w:pPr>
      <w:r>
        <w:t xml:space="preserve">Zoetis Colombia (en adelante, el Laboratorio) es la filial de una compañía multinacional de salud animal. En Colombia tiene portafolio para cuatro especies: animales de compañía (perros y gatos), bovinos, cerdos y aves. En cada una compite en segmentos como biológicos y vacunas, antimicrobianos, antiparasitarios, hormonales, analgésicos (pain), productos no farmacéuticos y otros farmacéuticos. La base contiene las ventas mensuales de cada segmento, el mercado total en pesos colombianos (incluidos los segmentos y subgrupos donde el Laboratorio no compite) y la participación del Laboratorio.</w:t>
      </w:r>
    </w:p>
    <w:p>
      <w:pPr>
        <w:pStyle w:val="Heading2"/>
      </w:pPr>
      <w:r>
        <w:t xml:space="preserve">1.2 La decisión organizacional</w:t>
      </w:r>
    </w:p>
    <w:p>
      <w:pPr>
        <w:pBdr>
          <w:left w:val="single" w:color="0B5D4F" w:sz="24" w:space="8"/>
        </w:pBdr>
        <w:shd w:fill="EEF5F3" w:color="auto" w:val="clear"/>
        <w:spacing w:after="160" w:before="80" w:line="276"/>
        <w:ind w:left="160" w:right="80"/>
      </w:pPr>
      <w:r>
        <w:rPr>
          <w:b/>
          <w:bCs/>
        </w:rPr>
        <w:t xml:space="preserve">Decisión:</w:t>
      </w:r>
      <w:r>
        <w:t xml:space="preserve"> con qué crecimiento del mercado y de las ventas debe planear el Laboratorio el año 2027, por especie: metas comerciales, presupuesto, producción e inventario (los biológicos tienen vida útil limitada) y prioridades de inversión.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600"/>
        <w:gridCol w:w="6760"/>
      </w:tblGrid>
      <w:tr>
        <w:trPr>
          <w:cantSplit/>
          <w:tblHeader/>
        </w:trPr>
        <w:tc>
          <w:tcPr>
            <w:tcW w:type="dxa" w:w="2600"/>
            <w:shd w:fill="E4EEEB" w:color="auto" w:val="clear"/>
            <w:tcMar>
              <w:top w:type="dxa" w:w="50"/>
              <w:left w:type="dxa" w:w="90"/>
              <w:bottom w:type="dxa" w:w="50"/>
              <w:right w:type="dxa" w:w="90"/>
            </w:tcMar>
            <w:vAlign w:val="center"/>
          </w:tcPr>
          <w:p>
            <w:pPr>
              <w:spacing w:after="20"/>
              <w:jc w:val="left"/>
            </w:pPr>
            <w:r>
              <w:rPr>
                <w:b/>
                <w:bCs/>
                <w:sz w:val="18"/>
                <w:szCs w:val="18"/>
              </w:rPr>
              <w:t xml:space="preserve">Pregunta</w:t>
            </w:r>
          </w:p>
        </w:tc>
        <w:tc>
          <w:tcPr>
            <w:tcW w:type="dxa" w:w="6760"/>
            <w:shd w:fill="E4EEEB" w:color="auto" w:val="clear"/>
            <w:tcMar>
              <w:top w:type="dxa" w:w="50"/>
              <w:left w:type="dxa" w:w="90"/>
              <w:bottom w:type="dxa" w:w="50"/>
              <w:right w:type="dxa" w:w="90"/>
            </w:tcMar>
            <w:vAlign w:val="center"/>
          </w:tcPr>
          <w:p>
            <w:pPr>
              <w:spacing w:after="20"/>
              <w:jc w:val="left"/>
            </w:pPr>
            <w:r>
              <w:rPr>
                <w:b/>
                <w:bCs/>
                <w:sz w:val="18"/>
                <w:szCs w:val="18"/>
              </w:rPr>
              <w:t xml:space="preserve">Respuesta</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¿Quién decide?</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cargo: p. ej., Gerencia General de Zoetis Colombia con Dirección Comercial y Planeación Financiera]</w:t>
            </w:r>
            <w:r>
              <w:rPr>
                <w:b w:val="false"/>
                <w:bCs w:val="false"/>
                <w:sz w:val="18"/>
                <w:szCs w:val="18"/>
              </w:rPr>
              <w:t xml:space="preserve">. El equipo del proyecto prepara la evidencia y no toma la decisión.</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¿Cuándo?</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fecha del ciclo de planeación 2027]</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¿A quién afecta directamente?</w:t>
            </w:r>
          </w:p>
        </w:tc>
        <w:tc>
          <w:tcPr>
            <w:tcW w:type="dxa" w:w="6760"/>
            <w:tcMar>
              <w:top w:type="dxa" w:w="50"/>
              <w:left w:type="dxa" w:w="90"/>
              <w:bottom w:type="dxa" w:w="50"/>
              <w:right w:type="dxa" w:w="90"/>
            </w:tcMar>
            <w:vAlign w:val="center"/>
          </w:tcPr>
          <w:p>
            <w:pPr>
              <w:spacing w:after="20"/>
              <w:jc w:val="left"/>
            </w:pPr>
            <w:r>
              <w:rPr>
                <w:b w:val="false"/>
                <w:bCs w:val="false"/>
                <w:sz w:val="18"/>
                <w:szCs w:val="18"/>
              </w:rPr>
              <w:t xml:space="preserve">Equipos comerciales de cada especie (metas y comisiones), cadena de suministro (inventarios), finanzas (presupuesto) y mercadeo (inversión por especie).</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¿A quién afecta indirectamente?</w:t>
            </w:r>
          </w:p>
        </w:tc>
        <w:tc>
          <w:tcPr>
            <w:tcW w:type="dxa" w:w="6760"/>
            <w:tcMar>
              <w:top w:type="dxa" w:w="50"/>
              <w:left w:type="dxa" w:w="90"/>
              <w:bottom w:type="dxa" w:w="50"/>
              <w:right w:type="dxa" w:w="90"/>
            </w:tcMar>
            <w:vAlign w:val="center"/>
          </w:tcPr>
          <w:p>
            <w:pPr>
              <w:spacing w:after="20"/>
              <w:jc w:val="left"/>
            </w:pPr>
            <w:r>
              <w:rPr>
                <w:b w:val="false"/>
                <w:bCs w:val="false"/>
                <w:sz w:val="18"/>
                <w:szCs w:val="18"/>
              </w:rPr>
              <w:t xml:space="preserve">Veterinarios, distribuidores y productores, por la disponibilidad y el precio de los productos; y los animales atendidos, por el acceso a vacunas y tratamientos.</w:t>
            </w:r>
          </w:p>
        </w:tc>
      </w:tr>
      <w:tr>
        <w:trPr>
          <w:cantSplit/>
        </w:trPr>
        <w:tc>
          <w:tcPr>
            <w:tcW w:type="dxa" w:w="2600"/>
            <w:tcMar>
              <w:top w:type="dxa" w:w="50"/>
              <w:left w:type="dxa" w:w="90"/>
              <w:bottom w:type="dxa" w:w="50"/>
              <w:right w:type="dxa" w:w="90"/>
            </w:tcMar>
            <w:vAlign w:val="center"/>
          </w:tcPr>
          <w:p>
            <w:pPr>
              <w:spacing w:after="20"/>
              <w:jc w:val="left"/>
            </w:pPr>
            <w:r>
              <w:rPr>
                <w:b/>
                <w:bCs/>
                <w:sz w:val="18"/>
                <w:szCs w:val="18"/>
              </w:rPr>
              <w:t xml:space="preserve">¿Qué se hace hoy?</w:t>
            </w:r>
          </w:p>
        </w:tc>
        <w:tc>
          <w:tcPr>
            <w:tcW w:type="dxa" w:w="67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el método actual de planeación]</w:t>
            </w:r>
            <w:r>
              <w:rPr>
                <w:b w:val="false"/>
                <w:bCs w:val="false"/>
                <w:sz w:val="18"/>
                <w:szCs w:val="18"/>
              </w:rPr>
              <w:t xml:space="preserve">. La línea base 1 de este informe reproduce la práctica de repetir el crecimiento de hace 12 meses.</w:t>
            </w:r>
          </w:p>
        </w:tc>
      </w:tr>
    </w:tbl>
    <w:p>
      <w:pPr>
        <w:spacing w:after="100"/>
      </w:pPr>
    </w:p>
    <w:p>
      <w:pPr>
        <w:spacing w:after="120" w:line="276"/>
      </w:pPr>
      <w:r>
        <w:t xml:space="preserve">La decisión se clasifica con tres escenarios definidos por el negocio: </w:t>
      </w:r>
      <w:r>
        <w:rPr>
          <w:b/>
          <w:bCs/>
        </w:rPr>
        <w:t xml:space="preserve">regular</w:t>
      </w:r>
      <w:r>
        <w:t xml:space="preserve"> si el crecimiento es menor a 8%, </w:t>
      </w:r>
      <w:r>
        <w:rPr>
          <w:b/>
          <w:bCs/>
        </w:rPr>
        <w:t xml:space="preserve">estable</w:t>
      </w:r>
      <w:r>
        <w:t xml:space="preserve"> si está entre 8% y 15%, y </w:t>
      </w:r>
      <w:r>
        <w:rPr>
          <w:b/>
          <w:bCs/>
        </w:rPr>
        <w:t xml:space="preserve">optimista</w:t>
      </w:r>
      <w:r>
        <w:t xml:space="preserve"> si supera 15%.</w:t>
      </w:r>
    </w:p>
    <w:p>
      <w:pPr>
        <w:pStyle w:val="Heading2"/>
      </w:pPr>
      <w:r>
        <w:t xml:space="preserve">1.3 Paradigma elegido y alternativas</w:t>
      </w:r>
    </w:p>
    <w:p>
      <w:pPr>
        <w:spacing w:after="120" w:line="276"/>
      </w:pPr>
      <w:r>
        <w:t xml:space="preserve">Se eligió </w:t>
      </w:r>
      <w:r>
        <w:rPr>
          <w:b/>
          <w:bCs/>
        </w:rPr>
        <w:t xml:space="preserve">aprendizaje supervisado de tipo regresión</w:t>
      </w:r>
      <w:r>
        <w:t xml:space="preserve">: predecir el crecimiento nominal de las ventas de 12 meses móviles (variable continua) a partir de variables económicas y de precios, y derivar el escenario aplicando los umbrales de 8% y 15%. Las alternativas se descartaron por las razones de la tabla.</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000"/>
        <w:gridCol w:w="6360"/>
      </w:tblGrid>
      <w:tr>
        <w:trPr>
          <w:cantSplit/>
          <w:tblHeader/>
        </w:trPr>
        <w:tc>
          <w:tcPr>
            <w:tcW w:type="dxa" w:w="3000"/>
            <w:shd w:fill="E4EEEB" w:color="auto" w:val="clear"/>
            <w:tcMar>
              <w:top w:type="dxa" w:w="50"/>
              <w:left w:type="dxa" w:w="90"/>
              <w:bottom w:type="dxa" w:w="50"/>
              <w:right w:type="dxa" w:w="90"/>
            </w:tcMar>
            <w:vAlign w:val="center"/>
          </w:tcPr>
          <w:p>
            <w:pPr>
              <w:spacing w:after="20"/>
              <w:jc w:val="left"/>
            </w:pPr>
            <w:r>
              <w:rPr>
                <w:b/>
                <w:bCs/>
                <w:sz w:val="18"/>
                <w:szCs w:val="18"/>
              </w:rPr>
              <w:t xml:space="preserve">Alternativa</w:t>
            </w:r>
          </w:p>
        </w:tc>
        <w:tc>
          <w:tcPr>
            <w:tcW w:type="dxa" w:w="6360"/>
            <w:shd w:fill="E4EEEB" w:color="auto" w:val="clear"/>
            <w:tcMar>
              <w:top w:type="dxa" w:w="50"/>
              <w:left w:type="dxa" w:w="90"/>
              <w:bottom w:type="dxa" w:w="50"/>
              <w:right w:type="dxa" w:w="90"/>
            </w:tcMar>
            <w:vAlign w:val="center"/>
          </w:tcPr>
          <w:p>
            <w:pPr>
              <w:spacing w:after="20"/>
              <w:jc w:val="left"/>
            </w:pPr>
            <w:r>
              <w:rPr>
                <w:b/>
                <w:bCs/>
                <w:sz w:val="18"/>
                <w:szCs w:val="18"/>
              </w:rPr>
              <w:t xml:space="preserve">Por qué no es la principal</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Clasificación directa del escenario</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Desperdicia información (un 8,1% y un 14,9% serían iguales) y el desbalance es fuerte: solo 4,6% de las observaciones de entrenamiento del mercado son "regular". Se usa como lectura derivada y se evalúa aparte.</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Series de tiempo clásicas (ARIMA, suavizado exponencial)</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Proyectan con la propia historia, pero no permiten el objetivo de simular cambios en PIB, inflación, salario mínimo y precios.</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Aprendizaje no supervisado</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No hay una variable objetivo que se pueda recuperar; no responde a la pregunta de proyección.</w:t>
            </w:r>
          </w:p>
        </w:tc>
      </w:tr>
      <w:tr>
        <w:trPr>
          <w:cantSplit/>
        </w:trPr>
        <w:tc>
          <w:tcPr>
            <w:tcW w:type="dxa" w:w="3000"/>
            <w:tcMar>
              <w:top w:type="dxa" w:w="50"/>
              <w:left w:type="dxa" w:w="90"/>
              <w:bottom w:type="dxa" w:w="50"/>
              <w:right w:type="dxa" w:w="90"/>
            </w:tcMar>
            <w:vAlign w:val="center"/>
          </w:tcPr>
          <w:p>
            <w:pPr>
              <w:spacing w:after="20"/>
              <w:jc w:val="left"/>
            </w:pPr>
            <w:r>
              <w:rPr>
                <w:b/>
                <w:bCs/>
                <w:sz w:val="18"/>
                <w:szCs w:val="18"/>
              </w:rPr>
              <w:t xml:space="preserve">Modelos causales o estructurales</w:t>
            </w:r>
          </w:p>
        </w:tc>
        <w:tc>
          <w:tcPr>
            <w:tcW w:type="dxa" w:w="6360"/>
            <w:tcMar>
              <w:top w:type="dxa" w:w="50"/>
              <w:left w:type="dxa" w:w="90"/>
              <w:bottom w:type="dxa" w:w="50"/>
              <w:right w:type="dxa" w:w="90"/>
            </w:tcMar>
            <w:vAlign w:val="center"/>
          </w:tcPr>
          <w:p>
            <w:pPr>
              <w:spacing w:after="20"/>
              <w:jc w:val="left"/>
            </w:pPr>
            <w:r>
              <w:rPr>
                <w:b w:val="false"/>
                <w:bCs w:val="false"/>
                <w:sz w:val="18"/>
                <w:szCs w:val="18"/>
              </w:rPr>
              <w:t xml:space="preserve">Requerirían datos de precios y demanda por producto, y diseños que la base no tiene (Sección 6.6).</w:t>
            </w:r>
          </w:p>
        </w:tc>
      </w:tr>
    </w:tbl>
    <w:p>
      <w:pPr>
        <w:pStyle w:val="Heading2"/>
      </w:pPr>
      <w:r>
        <w:t xml:space="preserve">1.4 Pérdida técnica y métrica de éxito del negocio</w:t>
      </w:r>
    </w:p>
    <w:p>
      <w:pPr>
        <w:spacing w:after="120" w:line="276"/>
      </w:pPr>
      <w:r>
        <w:t xml:space="preserve">El modelo se entrena minimizando un error de predicción, pero el negocio no gana ni pierde por ese error sino por las decisiones que se toman con él. Por eso se separan dos niveles: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900"/>
        <w:gridCol w:w="4700"/>
        <w:gridCol w:w="2760"/>
      </w:tblGrid>
      <w:tr>
        <w:trPr>
          <w:cantSplit/>
          <w:tblHeader/>
        </w:trPr>
        <w:tc>
          <w:tcPr>
            <w:tcW w:type="dxa" w:w="1900"/>
            <w:shd w:fill="E4EEEB" w:color="auto" w:val="clear"/>
            <w:tcMar>
              <w:top w:type="dxa" w:w="50"/>
              <w:left w:type="dxa" w:w="90"/>
              <w:bottom w:type="dxa" w:w="50"/>
              <w:right w:type="dxa" w:w="90"/>
            </w:tcMar>
            <w:vAlign w:val="center"/>
          </w:tcPr>
          <w:p>
            <w:pPr>
              <w:spacing w:after="20"/>
              <w:jc w:val="left"/>
            </w:pPr>
            <w:r>
              <w:rPr>
                <w:b/>
                <w:bCs/>
                <w:sz w:val="18"/>
                <w:szCs w:val="18"/>
              </w:rPr>
              <w:t xml:space="preserve">Nivel</w:t>
            </w:r>
          </w:p>
        </w:tc>
        <w:tc>
          <w:tcPr>
            <w:tcW w:type="dxa" w:w="4700"/>
            <w:shd w:fill="E4EEEB" w:color="auto" w:val="clear"/>
            <w:tcMar>
              <w:top w:type="dxa" w:w="50"/>
              <w:left w:type="dxa" w:w="90"/>
              <w:bottom w:type="dxa" w:w="50"/>
              <w:right w:type="dxa" w:w="90"/>
            </w:tcMar>
            <w:vAlign w:val="center"/>
          </w:tcPr>
          <w:p>
            <w:pPr>
              <w:spacing w:after="20"/>
              <w:jc w:val="left"/>
            </w:pPr>
            <w:r>
              <w:rPr>
                <w:b/>
                <w:bCs/>
                <w:sz w:val="18"/>
                <w:szCs w:val="18"/>
              </w:rPr>
              <w:t xml:space="preserve">Métrica</w:t>
            </w:r>
          </w:p>
        </w:tc>
        <w:tc>
          <w:tcPr>
            <w:tcW w:type="dxa" w:w="2760"/>
            <w:shd w:fill="E4EEEB" w:color="auto" w:val="clear"/>
            <w:tcMar>
              <w:top w:type="dxa" w:w="50"/>
              <w:left w:type="dxa" w:w="90"/>
              <w:bottom w:type="dxa" w:w="50"/>
              <w:right w:type="dxa" w:w="90"/>
            </w:tcMar>
            <w:vAlign w:val="center"/>
          </w:tcPr>
          <w:p>
            <w:pPr>
              <w:spacing w:after="20"/>
              <w:jc w:val="left"/>
            </w:pPr>
            <w:r>
              <w:rPr>
                <w:b/>
                <w:bCs/>
                <w:sz w:val="18"/>
                <w:szCs w:val="18"/>
              </w:rPr>
              <w:t xml:space="preserve">Para qué sirve</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Pérdida técnica</w:t>
            </w:r>
          </w:p>
        </w:tc>
        <w:tc>
          <w:tcPr>
            <w:tcW w:type="dxa" w:w="4700"/>
            <w:tcMar>
              <w:top w:type="dxa" w:w="50"/>
              <w:left w:type="dxa" w:w="90"/>
              <w:bottom w:type="dxa" w:w="50"/>
              <w:right w:type="dxa" w:w="90"/>
            </w:tcMar>
            <w:vAlign w:val="center"/>
          </w:tcPr>
          <w:p>
            <w:pPr>
              <w:spacing w:after="20"/>
              <w:jc w:val="left"/>
            </w:pPr>
            <w:r>
              <w:rPr>
                <w:b w:val="false"/>
                <w:bCs w:val="false"/>
                <w:sz w:val="18"/>
                <w:szCs w:val="18"/>
              </w:rPr>
              <w:t xml:space="preserve">Error absoluto medio (MAE) y raíz del error cuadrático medio (RMSE), en puntos porcentuales de crecimiento; R² como lectura de la varianza explicada.</w:t>
            </w:r>
          </w:p>
        </w:tc>
        <w:tc>
          <w:tcPr>
            <w:tcW w:type="dxa" w:w="2760"/>
            <w:tcMar>
              <w:top w:type="dxa" w:w="50"/>
              <w:left w:type="dxa" w:w="90"/>
              <w:bottom w:type="dxa" w:w="50"/>
              <w:right w:type="dxa" w:w="90"/>
            </w:tcMar>
            <w:vAlign w:val="center"/>
          </w:tcPr>
          <w:p>
            <w:pPr>
              <w:spacing w:after="20"/>
              <w:jc w:val="left"/>
            </w:pPr>
            <w:r>
              <w:rPr>
                <w:b w:val="false"/>
                <w:bCs w:val="false"/>
                <w:sz w:val="18"/>
                <w:szCs w:val="18"/>
              </w:rPr>
              <w:t xml:space="preserve">Entrenar, ajustar hiperparámetros y comparar modelos.</w:t>
            </w:r>
          </w:p>
        </w:tc>
      </w:tr>
      <w:tr>
        <w:trPr>
          <w:cantSplit/>
        </w:trPr>
        <w:tc>
          <w:tcPr>
            <w:tcW w:type="dxa" w:w="1900"/>
            <w:tcMar>
              <w:top w:type="dxa" w:w="50"/>
              <w:left w:type="dxa" w:w="90"/>
              <w:bottom w:type="dxa" w:w="50"/>
              <w:right w:type="dxa" w:w="90"/>
            </w:tcMar>
            <w:vAlign w:val="center"/>
          </w:tcPr>
          <w:p>
            <w:pPr>
              <w:spacing w:after="20"/>
              <w:jc w:val="left"/>
            </w:pPr>
            <w:r>
              <w:rPr>
                <w:b/>
                <w:bCs/>
                <w:sz w:val="18"/>
                <w:szCs w:val="18"/>
              </w:rPr>
              <w:t xml:space="preserve">Métrica de éxito del negocio</w:t>
            </w:r>
          </w:p>
        </w:tc>
        <w:tc>
          <w:tcPr>
            <w:tcW w:type="dxa" w:w="4700"/>
            <w:tcMar>
              <w:top w:type="dxa" w:w="50"/>
              <w:left w:type="dxa" w:w="90"/>
              <w:bottom w:type="dxa" w:w="50"/>
              <w:right w:type="dxa" w:w="90"/>
            </w:tcMar>
            <w:vAlign w:val="center"/>
          </w:tcPr>
          <w:p>
            <w:pPr>
              <w:spacing w:after="20"/>
              <w:jc w:val="left"/>
            </w:pPr>
            <w:r>
              <w:rPr>
                <w:b w:val="false"/>
                <w:bCs w:val="false"/>
                <w:sz w:val="18"/>
                <w:szCs w:val="18"/>
              </w:rPr>
              <w:t xml:space="preserve">Costo esperado por error de escenario: pronosticar un escenario por encima del real cuesta el doble que pronosticarlo por debajo. Se complementa con la proporción de escenarios acertados y la capacidad de detectar el escenario "regular".</w:t>
            </w:r>
          </w:p>
        </w:tc>
        <w:tc>
          <w:tcPr>
            <w:tcW w:type="dxa" w:w="2760"/>
            <w:tcMar>
              <w:top w:type="dxa" w:w="50"/>
              <w:left w:type="dxa" w:w="90"/>
              <w:bottom w:type="dxa" w:w="50"/>
              <w:right w:type="dxa" w:w="90"/>
            </w:tcMar>
            <w:vAlign w:val="center"/>
          </w:tcPr>
          <w:p>
            <w:pPr>
              <w:spacing w:after="20"/>
              <w:jc w:val="left"/>
            </w:pPr>
            <w:r>
              <w:rPr>
                <w:b w:val="false"/>
                <w:bCs w:val="false"/>
                <w:sz w:val="18"/>
                <w:szCs w:val="18"/>
              </w:rPr>
              <w:t xml:space="preserve">Decidir si el modelo mejora la planeación frente a la práctica actual.</w:t>
            </w:r>
          </w:p>
        </w:tc>
      </w:tr>
    </w:tbl>
    <w:p>
      <w:pPr>
        <w:spacing w:after="100"/>
      </w:pPr>
    </w:p>
    <w:p>
      <w:pPr>
        <w:spacing w:after="120" w:line="276"/>
      </w:pPr>
      <w:r>
        <w:rPr>
          <w:b/>
          <w:bCs/>
        </w:rPr>
        <w:t xml:space="preserve">Supuesto de costos (a validar con el negocio):</w:t>
      </w:r>
      <w:r>
        <w:t xml:space="preserve"> sobrestimar el crecimiento lleva a inventario excedente o vencido y a presupuestos y metas inalcanzables; subestimarlo lleva a desabastecimiento y ventas perdidas. Se asumió que lo primero es dos veces más costoso por cada nivel de escenario de diferencia. </w:t>
      </w:r>
      <w:r>
        <w:rPr>
          <w:highlight w:val="yellow"/>
          <w:highlightCs w:val="yellow"/>
        </w:rPr>
        <w:t xml:space="preserve">[Confirmar la proporción 2:1 con Finanzas o Cadena de Suministro]</w:t>
      </w:r>
      <w:r>
        <w:t xml:space="preserve">.</w:t>
      </w:r>
    </w:p>
    <w:p>
      <w:pPr>
        <w:spacing w:after="120" w:line="276"/>
      </w:pPr>
      <w:r>
        <w:rPr>
          <w:b/>
          <w:bCs/>
        </w:rPr>
        <w:t xml:space="preserve">Criterio de éxito:</w:t>
      </w:r>
      <w:r>
        <w:t xml:space="preserve"> el modelo agrega valor solo si supera a las dos líneas base (repetir el crecimiento de hace 12 meses y usar el promedio histórico de la especie) tanto en validación cruzada como en el examen. </w:t>
      </w:r>
      <w:r>
        <w:rPr>
          <w:highlight w:val="yellow"/>
          <w:highlightCs w:val="yellow"/>
        </w:rPr>
        <w:t xml:space="preserve">[Confirmar el error máximo tolerable, por ejemplo ±5 pp]</w:t>
      </w:r>
      <w:r>
        <w:t xml:space="preserve">.</w:t>
      </w:r>
    </w:p>
    <w:p>
      <w:pPr>
        <w:pStyle w:val="Heading2"/>
      </w:pPr>
      <w:r>
        <w:t xml:space="preserve">1.5 Riesgos éticos iniciales</w:t>
      </w:r>
    </w:p>
    <w:p>
      <w:pPr>
        <w:pStyle w:val="ListParagraph"/>
        <w:numPr>
          <w:ilvl w:val="0"/>
          <w:numId w:val="2"/>
        </w:numPr>
        <w:spacing w:after="60" w:line="264"/>
      </w:pPr>
      <w:r>
        <w:rPr>
          <w:b/>
          <w:bCs/>
        </w:rPr>
        <w:t xml:space="preserve">Presión sobre personas.</w:t>
      </w:r>
      <w:r>
        <w:t xml:space="preserve"> Si una proyección puntual se convierte en meta o base de comisiones, los equipos comerciales cargan el error del modelo. Mitigación: usar rangos y no atar compensaciones a una cifra puntual.</w:t>
      </w:r>
    </w:p>
    <w:p>
      <w:pPr>
        <w:pStyle w:val="ListParagraph"/>
        <w:numPr>
          <w:ilvl w:val="0"/>
          <w:numId w:val="2"/>
        </w:numPr>
        <w:spacing w:after="60" w:line="264"/>
      </w:pPr>
      <w:r>
        <w:rPr>
          <w:b/>
          <w:bCs/>
        </w:rPr>
        <w:t xml:space="preserve">Uso responsable de antimicrobianos.</w:t>
      </w:r>
      <w:r>
        <w:t xml:space="preserve"> Proyectar crecimiento del segmento antimicrobiano puede incentivar un empuje comercial que contradiga las prácticas de uso prudente y la resistencia antimicrobiana. Mitigación: tratar el pronóstico como insumo de abastecimiento, no como meta de promoción.</w:t>
      </w:r>
    </w:p>
    <w:p>
      <w:pPr>
        <w:pStyle w:val="ListParagraph"/>
        <w:numPr>
          <w:ilvl w:val="0"/>
          <w:numId w:val="2"/>
        </w:numPr>
        <w:spacing w:after="60" w:line="264"/>
      </w:pPr>
      <w:r>
        <w:rPr>
          <w:b/>
          <w:bCs/>
        </w:rPr>
        <w:t xml:space="preserve">Información privilegiada de mercado.</w:t>
      </w:r>
      <w:r>
        <w:t xml:space="preserve"> Los datos de SIMVET son información privilegiada, aunque no confidencial, y su uso está amparado por la licencia. Los reportes no muestran nombres de laboratorios ni de marcas; el análisis debe mantenerse agregado y no intentar identificar a competidores. Las ventas del Laboratorio son internas: debe limitarse la difusión del repositorio y del simulador.</w:t>
      </w:r>
    </w:p>
    <w:p>
      <w:pPr>
        <w:pStyle w:val="ListParagraph"/>
        <w:numPr>
          <w:ilvl w:val="0"/>
          <w:numId w:val="2"/>
        </w:numPr>
        <w:spacing w:after="60" w:line="264"/>
      </w:pPr>
      <w:r>
        <w:rPr>
          <w:b/>
          <w:bCs/>
        </w:rPr>
        <w:t xml:space="preserve">Representatividad.</w:t>
      </w:r>
      <w:r>
        <w:t xml:space="preserve"> Las series cubren el agregado nacional, el sell-in de los laboratorios que reportan y solo algunos segmentos por especie (Sección 2.3). El modelo no describe a pequeños productores, regiones o clínicas específicas.</w:t>
      </w:r>
    </w:p>
    <w:p>
      <w:pPr>
        <w:pStyle w:val="ListParagraph"/>
        <w:numPr>
          <w:ilvl w:val="0"/>
          <w:numId w:val="2"/>
        </w:numPr>
        <w:spacing w:after="60" w:line="264"/>
      </w:pPr>
      <w:r>
        <w:rPr>
          <w:b/>
          <w:bCs/>
        </w:rPr>
        <w:t xml:space="preserve">Sobreconfianza.</w:t>
      </w:r>
      <w:r>
        <w:t xml:space="preserve"> Con cinco años de historia, una cifra con decimales transmite una precisión que el modelo no tiene.</w:t>
      </w:r>
    </w:p>
    <w:p>
      <w:pPr>
        <w:pStyle w:val="ListParagraph"/>
        <w:numPr>
          <w:ilvl w:val="0"/>
          <w:numId w:val="2"/>
        </w:numPr>
        <w:spacing w:after="60" w:line="264"/>
      </w:pPr>
      <w:r>
        <w:rPr>
          <w:b/>
          <w:bCs/>
        </w:rPr>
        <w:t xml:space="preserve">Transparencia sobre el uso de IA.</w:t>
      </w:r>
      <w:r>
        <w:t xml:space="preserve"> El código y el análisis se desarrollaron con apoyo de un asistente de inteligencia artificial; las decisiones de negocio y de tratamiento de datos las tomó el equipo (Sección 7).</w:t>
      </w:r>
    </w:p>
    <w:p>
      <w:pPr>
        <w:pStyle w:val="Heading1"/>
        <w:spacing w:after="200" w:before="480"/>
      </w:pPr>
      <w:r>
        <w:t xml:space="preserve">2. Datos</w:t>
      </w:r>
    </w:p>
    <w:p>
      <w:pPr>
        <w:pStyle w:val="Heading2"/>
      </w:pPr>
      <w:r>
        <w:t xml:space="preserve">2.1 Ficha de datos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70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Atributo</w:t>
            </w:r>
          </w:p>
        </w:tc>
        <w:tc>
          <w:tcPr>
            <w:tcW w:type="dxa" w:w="7060"/>
            <w:shd w:fill="E4EEEB" w:color="auto" w:val="clear"/>
            <w:tcMar>
              <w:top w:type="dxa" w:w="50"/>
              <w:left w:type="dxa" w:w="90"/>
              <w:bottom w:type="dxa" w:w="50"/>
              <w:right w:type="dxa" w:w="90"/>
            </w:tcMar>
            <w:vAlign w:val="center"/>
          </w:tcPr>
          <w:p>
            <w:pPr>
              <w:spacing w:after="20"/>
              <w:jc w:val="left"/>
            </w:pPr>
            <w:r>
              <w:rPr>
                <w:b/>
                <w:bCs/>
                <w:sz w:val="18"/>
                <w:szCs w:val="18"/>
              </w:rPr>
              <w:t xml:space="preserve">Descripción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Nombre del conjunto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Base Mercado Salud Animal.csv (formato largo: un registro por especie, segmento, subgrupo y mes), más TRM.csv (Banco de la República).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Fuente: mercado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SIMVET (plataforma-simvet.com), a la que se accede con una cuenta con licencia. Reporta la venta de productos farmacéuticos (</w:t>
            </w:r>
            <w:r>
              <w:rPr>
                <w:b/>
                <w:bCs/>
                <w:sz w:val="18"/>
                <w:szCs w:val="18"/>
              </w:rPr>
              <w:t xml:space="preserve">sell-in</w:t>
            </w:r>
            <w:r>
              <w:rPr>
                <w:b w:val="false"/>
                <w:bCs w:val="false"/>
                <w:sz w:val="18"/>
                <w:szCs w:val="18"/>
              </w:rPr>
              <w:t xml:space="preserve">) de </w:t>
            </w:r>
            <w:r>
              <w:rPr>
                <w:b/>
                <w:bCs/>
                <w:sz w:val="18"/>
                <w:szCs w:val="18"/>
              </w:rPr>
              <w:t xml:space="preserve">31 laboratorios</w:t>
            </w:r>
            <w:r>
              <w:rPr>
                <w:b w:val="false"/>
                <w:bCs w:val="false"/>
                <w:sz w:val="18"/>
                <w:szCs w:val="18"/>
              </w:rPr>
              <w:t xml:space="preserve"> nacionales y multinacionales. Los reportes no muestran nombres de laboratorios ni de marcas. Cobertura: enero de 2020 a junio de 2026.</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Fuente: ventas del Laboratorio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Interna de Zoetis Colombia, por especie, segmento y subgrupo.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Fuente: población de perros y gatos</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Ministerio de Salud y Protección Social (Minsalud): reporte de vacunación antirrábica 2017 y consolidado nacional 2019 (6.403.444 perros y 1.938.517 gatos). Crecimiento anual 2020 a 2026: Euromonitor International (Pet Healthcare, Historic growth, Pet population). La serie de la base es la población de 2019 multiplicada por esos crecimientos (2020: factor 1,0534, igual para perros y gatos). No se usa en el modelo (Sección 2.3).</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Otras fuentes</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Precios (DANE-SIPSA, Fedegán, Porkcolombia, Fenavi), IPC y PIB (DANE), salario mínimo (Siigo) y TRM (Banco de la República). Ver Anexo 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Licencia o autorización</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SIMVET: información privilegiada pero no confidencial; el equipo tiene permiso de uso por la licencia contratada. Ventas del Laboratorio: propiedad de Zoetis Colombia. Fuentes públicas: sujetas a los términos de uso de cada entidad. Euromonitor: licencia de la compañía </w:t>
            </w:r>
            <w:r>
              <w:rPr>
                <w:b w:val="false"/>
                <w:bCs w:val="false"/>
                <w:sz w:val="18"/>
                <w:szCs w:val="18"/>
                <w:highlight w:val="yellow"/>
                <w:highlightCs w:val="yellow"/>
              </w:rPr>
              <w:t xml:space="preserve">[confirmar alcance de la licencia para citar cifras]</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Fecha de acceso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18 de octubre de 2026 para todas las fuentes. Nota: el archivo TRM.csv indica en su pie que se descargó el 21 de octubre de 2026 </w:t>
            </w:r>
            <w:r>
              <w:rPr>
                <w:b w:val="false"/>
                <w:bCs w:val="false"/>
                <w:sz w:val="18"/>
                <w:szCs w:val="18"/>
                <w:highlight w:val="yellow"/>
                <w:highlightCs w:val="yellow"/>
              </w:rPr>
              <w:t xml:space="preserve">[confirmar cuál fecha se debe citar]</w:t>
            </w:r>
            <w:r>
              <w:rPr>
                <w:b w:val="false"/>
                <w:bCs w:val="false"/>
                <w:sz w:val="18"/>
                <w:szCs w:val="18"/>
              </w:rPr>
              <w:t xml:space="preserve">. El archivo se cargó al repositorio y se analizó entre el 20 y el 21 de octubre de 2026.</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Filas y columnas</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8.268 filas y 25 columnas (sin filas vacías ni duplicadas); TRM: 81 meses.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Periodo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Enero de 2020 a junio de 2026 (78 meses).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Granularidad</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106 series de mercado (especie × segmento × subgrupo), con 83 nombres de subgrupo.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Cobertura por especie</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Animales de compañía: 6 segmentos. Bovinos: 5. Cerdos: 2 (antimicrobiano y vacunas). Aves: 1 (solo vacunas).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Marca "Compite Laboraorio"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Columna SI/NO que indica si el Laboratorio compite en la serie (el encabezado del archivo trae un error de ortografía). Es SI en 2.589 filas y en ellas está toda la venta del Laboratorio. </w:t>
            </w:r>
            <w:r>
              <w:rPr>
                <w:b w:val="false"/>
                <w:bCs w:val="false"/>
                <w:sz w:val="18"/>
                <w:szCs w:val="18"/>
                <w:highlight w:val="yellow"/>
                <w:highlightCs w:val="yellow"/>
              </w:rPr>
              <w:t xml:space="preserve">[Confirmar la definición de la marca]</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Formato</w:t>
            </w:r>
          </w:p>
        </w:tc>
        <w:tc>
          <w:tcPr>
            <w:tcW w:type="dxa" w:w="7060"/>
            <w:tcMar>
              <w:top w:type="dxa" w:w="50"/>
              <w:left w:type="dxa" w:w="90"/>
              <w:bottom w:type="dxa" w:w="50"/>
              <w:right w:type="dxa" w:w="90"/>
            </w:tcMar>
            <w:vAlign w:val="center"/>
          </w:tcPr>
          <w:p>
            <w:pPr>
              <w:spacing w:after="20"/>
              <w:jc w:val="left"/>
            </w:pPr>
            <w:r>
              <w:rPr>
                <w:b w:val="false"/>
                <w:bCs w:val="false"/>
                <w:sz w:val="18"/>
                <w:szCs w:val="18"/>
              </w:rPr>
              <w:t xml:space="preserve">CSV con codificación UTF-8 con BOM; números con coma de miles; los crecimientos vienen como fracciones.</w:t>
            </w:r>
          </w:p>
        </w:tc>
      </w:tr>
    </w:tbl>
    <w:p>
      <w:pPr>
        <w:keepNext/>
        <w:spacing w:after="60" w:before="160"/>
      </w:pPr>
      <w:r>
        <w:rPr>
          <w:b/>
          <w:bCs/>
          <w:color w:val="13201C"/>
          <w:sz w:val="19"/>
          <w:szCs w:val="19"/>
        </w:rPr>
        <w:t xml:space="preserve">Tabla 1. Columnas, tipos y faltantes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000"/>
        <w:gridCol w:w="2900"/>
        <w:gridCol w:w="1400"/>
        <w:gridCol w:w="3060"/>
      </w:tblGrid>
      <w:tr>
        <w:trPr>
          <w:cantSplit/>
          <w:tblHeader/>
        </w:trPr>
        <w:tc>
          <w:tcPr>
            <w:tcW w:type="dxa" w:w="2000"/>
            <w:shd w:fill="E4EEEB" w:color="auto" w:val="clear"/>
            <w:tcMar>
              <w:top w:type="dxa" w:w="50"/>
              <w:left w:type="dxa" w:w="90"/>
              <w:bottom w:type="dxa" w:w="50"/>
              <w:right w:type="dxa" w:w="90"/>
            </w:tcMar>
            <w:vAlign w:val="center"/>
          </w:tcPr>
          <w:p>
            <w:pPr>
              <w:spacing w:after="20"/>
              <w:jc w:val="left"/>
            </w:pPr>
            <w:r>
              <w:rPr>
                <w:b/>
                <w:bCs/>
                <w:sz w:val="18"/>
                <w:szCs w:val="18"/>
              </w:rPr>
              <w:t xml:space="preserve">Columna</w:t>
            </w:r>
          </w:p>
        </w:tc>
        <w:tc>
          <w:tcPr>
            <w:tcW w:type="dxa" w:w="2900"/>
            <w:shd w:fill="E4EEEB" w:color="auto" w:val="clear"/>
            <w:tcMar>
              <w:top w:type="dxa" w:w="50"/>
              <w:left w:type="dxa" w:w="90"/>
              <w:bottom w:type="dxa" w:w="50"/>
              <w:right w:type="dxa" w:w="90"/>
            </w:tcMar>
            <w:vAlign w:val="center"/>
          </w:tcPr>
          <w:p>
            <w:pPr>
              <w:spacing w:after="20"/>
              <w:jc w:val="left"/>
            </w:pPr>
            <w:r>
              <w:rPr>
                <w:b/>
                <w:bCs/>
                <w:sz w:val="18"/>
                <w:szCs w:val="18"/>
              </w:rPr>
              <w:t xml:space="preserve">Tipo</w:t>
            </w:r>
          </w:p>
        </w:tc>
        <w:tc>
          <w:tcPr>
            <w:tcW w:type="dxa" w:w="1400"/>
            <w:shd w:fill="E4EEEB" w:color="auto" w:val="clear"/>
            <w:tcMar>
              <w:top w:type="dxa" w:w="50"/>
              <w:left w:type="dxa" w:w="90"/>
              <w:bottom w:type="dxa" w:w="50"/>
              <w:right w:type="dxa" w:w="90"/>
            </w:tcMar>
            <w:vAlign w:val="center"/>
          </w:tcPr>
          <w:p>
            <w:pPr>
              <w:spacing w:after="20"/>
              <w:jc w:val="right"/>
            </w:pPr>
            <w:r>
              <w:rPr>
                <w:b/>
                <w:bCs/>
                <w:sz w:val="18"/>
                <w:szCs w:val="18"/>
              </w:rPr>
              <w:t xml:space="preserve">Faltantes</w:t>
            </w:r>
          </w:p>
        </w:tc>
        <w:tc>
          <w:tcPr>
            <w:tcW w:type="dxa" w:w="3060"/>
            <w:shd w:fill="E4EEEB" w:color="auto" w:val="clear"/>
            <w:tcMar>
              <w:top w:type="dxa" w:w="50"/>
              <w:left w:type="dxa" w:w="90"/>
              <w:bottom w:type="dxa" w:w="50"/>
              <w:right w:type="dxa" w:w="90"/>
            </w:tcMar>
            <w:vAlign w:val="center"/>
          </w:tcPr>
          <w:p>
            <w:pPr>
              <w:spacing w:after="20"/>
              <w:jc w:val="left"/>
            </w:pPr>
            <w:r>
              <w:rPr>
                <w:b/>
                <w:bCs/>
                <w:sz w:val="18"/>
                <w:szCs w:val="18"/>
              </w:rPr>
              <w:t xml:space="preserve">Observación</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Especie</w:t>
            </w:r>
          </w:p>
        </w:tc>
        <w:tc>
          <w:tcPr>
            <w:tcW w:type="dxa" w:w="29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Segmento</w:t>
            </w:r>
          </w:p>
        </w:tc>
        <w:tc>
          <w:tcPr>
            <w:tcW w:type="dxa" w:w="29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Año</w:t>
            </w:r>
          </w:p>
        </w:tc>
        <w:tc>
          <w:tcPr>
            <w:tcW w:type="dxa" w:w="2900"/>
            <w:tcMar>
              <w:top w:type="dxa" w:w="50"/>
              <w:left w:type="dxa" w:w="90"/>
              <w:bottom w:type="dxa" w:w="50"/>
              <w:right w:type="dxa" w:w="90"/>
            </w:tcMar>
            <w:vAlign w:val="center"/>
          </w:tcPr>
          <w:p>
            <w:pPr>
              <w:spacing w:after="20"/>
              <w:jc w:val="left"/>
            </w:pPr>
            <w:r>
              <w:rPr>
                <w:sz w:val="18"/>
                <w:szCs w:val="18"/>
              </w:rPr>
              <w:t xml:space="preserve">Entera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Subgrupo</w:t>
            </w:r>
          </w:p>
        </w:tc>
        <w:tc>
          <w:tcPr>
            <w:tcW w:type="dxa" w:w="2900"/>
            <w:tcMar>
              <w:top w:type="dxa" w:w="50"/>
              <w:left w:type="dxa" w:w="90"/>
              <w:bottom w:type="dxa" w:w="50"/>
              <w:right w:type="dxa" w:w="90"/>
            </w:tcMar>
            <w:vAlign w:val="center"/>
          </w:tcPr>
          <w:p>
            <w:pPr>
              <w:spacing w:after="20"/>
              <w:jc w:val="left"/>
            </w:pPr>
            <w:r>
              <w:rPr>
                <w:sz w:val="18"/>
                <w:szCs w:val="18"/>
              </w:rPr>
              <w:t xml:space="preserve">Categórica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Mes</w:t>
            </w:r>
          </w:p>
        </w:tc>
        <w:tc>
          <w:tcPr>
            <w:tcW w:type="dxa" w:w="2900"/>
            <w:tcMar>
              <w:top w:type="dxa" w:w="50"/>
              <w:left w:type="dxa" w:w="90"/>
              <w:bottom w:type="dxa" w:w="50"/>
              <w:right w:type="dxa" w:w="90"/>
            </w:tcMar>
            <w:vAlign w:val="center"/>
          </w:tcPr>
          <w:p>
            <w:pPr>
              <w:spacing w:after="20"/>
              <w:jc w:val="left"/>
            </w:pPr>
            <w:r>
              <w:rPr>
                <w:sz w:val="18"/>
                <w:szCs w:val="18"/>
              </w:rPr>
              <w:t xml:space="preserve">Categórica (nombre del mes)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Mercado</w:t>
            </w:r>
          </w:p>
        </w:tc>
        <w:tc>
          <w:tcPr>
            <w:tcW w:type="dxa" w:w="2900"/>
            <w:tcMar>
              <w:top w:type="dxa" w:w="50"/>
              <w:left w:type="dxa" w:w="90"/>
              <w:bottom w:type="dxa" w:w="50"/>
              <w:right w:type="dxa" w:w="90"/>
            </w:tcMar>
            <w:vAlign w:val="center"/>
          </w:tcPr>
          <w:p>
            <w:pPr>
              <w:spacing w:after="20"/>
              <w:jc w:val="left"/>
            </w:pPr>
            <w:r>
              <w:rPr>
                <w:sz w:val="18"/>
                <w:szCs w:val="18"/>
              </w:rPr>
              <w:t xml:space="preserve">Numérica (COP;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Incluye 429 meses con valor cero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Crec Mercado Q movil</w:t>
            </w:r>
          </w:p>
        </w:tc>
        <w:tc>
          <w:tcPr>
            <w:tcW w:type="dxa" w:w="2900"/>
            <w:tcMar>
              <w:top w:type="dxa" w:w="50"/>
              <w:left w:type="dxa" w:w="90"/>
              <w:bottom w:type="dxa" w:w="50"/>
              <w:right w:type="dxa" w:w="90"/>
            </w:tcMar>
            <w:vAlign w:val="center"/>
          </w:tcPr>
          <w:p>
            <w:pPr>
              <w:spacing w:after="20"/>
              <w:jc w:val="left"/>
            </w:pPr>
            <w:r>
              <w:rPr>
                <w:sz w:val="18"/>
                <w:szCs w:val="18"/>
              </w:rPr>
              <w:t xml:space="preserve">Fracción (crecimiento 12 meses sobre trimestre móvil)</w:t>
            </w:r>
          </w:p>
        </w:tc>
        <w:tc>
          <w:tcPr>
            <w:tcW w:type="dxa" w:w="1400"/>
            <w:tcMar>
              <w:top w:type="dxa" w:w="50"/>
              <w:left w:type="dxa" w:w="90"/>
              <w:bottom w:type="dxa" w:w="50"/>
              <w:right w:type="dxa" w:w="90"/>
            </w:tcMar>
            <w:vAlign w:val="center"/>
          </w:tcPr>
          <w:p>
            <w:pPr>
              <w:spacing w:after="20"/>
              <w:jc w:val="right"/>
            </w:pPr>
            <w:r>
              <w:rPr>
                <w:sz w:val="18"/>
                <w:szCs w:val="18"/>
              </w:rPr>
              <w:t xml:space="preserve">1.683 (20,4%)</w:t>
            </w:r>
          </w:p>
        </w:tc>
        <w:tc>
          <w:tcPr>
            <w:tcW w:type="dxa" w:w="3060"/>
            <w:tcMar>
              <w:top w:type="dxa" w:w="50"/>
              <w:left w:type="dxa" w:w="90"/>
              <w:bottom w:type="dxa" w:w="50"/>
              <w:right w:type="dxa" w:w="90"/>
            </w:tcMar>
            <w:vAlign w:val="center"/>
          </w:tcPr>
          <w:p>
            <w:pPr>
              <w:spacing w:after="20"/>
              <w:jc w:val="left"/>
            </w:pPr>
            <w:r>
              <w:rPr>
                <w:sz w:val="18"/>
                <w:szCs w:val="18"/>
              </w:rPr>
              <w:t xml:space="preserve">Vacío al inicio de cada serie</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Crec Mercado Año</w:t>
            </w:r>
          </w:p>
        </w:tc>
        <w:tc>
          <w:tcPr>
            <w:tcW w:type="dxa" w:w="2900"/>
            <w:tcMar>
              <w:top w:type="dxa" w:w="50"/>
              <w:left w:type="dxa" w:w="90"/>
              <w:bottom w:type="dxa" w:w="50"/>
              <w:right w:type="dxa" w:w="90"/>
            </w:tcMar>
            <w:vAlign w:val="center"/>
          </w:tcPr>
          <w:p>
            <w:pPr>
              <w:spacing w:after="20"/>
              <w:jc w:val="left"/>
            </w:pPr>
            <w:r>
              <w:rPr>
                <w:sz w:val="18"/>
                <w:szCs w:val="18"/>
              </w:rPr>
              <w:t xml:space="preserve">Fracción (definición no reconciliable)</w:t>
            </w:r>
          </w:p>
        </w:tc>
        <w:tc>
          <w:tcPr>
            <w:tcW w:type="dxa" w:w="1400"/>
            <w:tcMar>
              <w:top w:type="dxa" w:w="50"/>
              <w:left w:type="dxa" w:w="90"/>
              <w:bottom w:type="dxa" w:w="50"/>
              <w:right w:type="dxa" w:w="90"/>
            </w:tcMar>
            <w:vAlign w:val="center"/>
          </w:tcPr>
          <w:p>
            <w:pPr>
              <w:spacing w:after="20"/>
              <w:jc w:val="right"/>
            </w:pPr>
            <w:r>
              <w:rPr>
                <w:sz w:val="18"/>
                <w:szCs w:val="18"/>
              </w:rPr>
              <w:t xml:space="preserve">1.428 (17,3%)</w:t>
            </w:r>
          </w:p>
        </w:tc>
        <w:tc>
          <w:tcPr>
            <w:tcW w:type="dxa" w:w="3060"/>
            <w:tcMar>
              <w:top w:type="dxa" w:w="50"/>
              <w:left w:type="dxa" w:w="90"/>
              <w:bottom w:type="dxa" w:w="50"/>
              <w:right w:type="dxa" w:w="90"/>
            </w:tcMar>
            <w:vAlign w:val="center"/>
          </w:tcPr>
          <w:p>
            <w:pPr>
              <w:spacing w:after="20"/>
              <w:jc w:val="left"/>
            </w:pPr>
            <w:r>
              <w:rPr>
                <w:sz w:val="18"/>
                <w:szCs w:val="18"/>
              </w:rPr>
              <w:t xml:space="preserve">Definición no reconciliable; no se usa</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Fecha</w:t>
            </w:r>
          </w:p>
        </w:tc>
        <w:tc>
          <w:tcPr>
            <w:tcW w:type="dxa" w:w="2900"/>
            <w:tcMar>
              <w:top w:type="dxa" w:w="50"/>
              <w:left w:type="dxa" w:w="90"/>
              <w:bottom w:type="dxa" w:w="50"/>
              <w:right w:type="dxa" w:w="90"/>
            </w:tcMar>
            <w:vAlign w:val="center"/>
          </w:tcPr>
          <w:p>
            <w:pPr>
              <w:spacing w:after="20"/>
              <w:jc w:val="left"/>
            </w:pPr>
            <w:r>
              <w:rPr>
                <w:sz w:val="18"/>
                <w:szCs w:val="18"/>
              </w:rPr>
              <w:t xml:space="preserve">Fecha (dd/mm/aaaa)</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Compite Laboraorio</w:t>
            </w:r>
          </w:p>
        </w:tc>
        <w:tc>
          <w:tcPr>
            <w:tcW w:type="dxa" w:w="2900"/>
            <w:tcMar>
              <w:top w:type="dxa" w:w="50"/>
              <w:left w:type="dxa" w:w="90"/>
              <w:bottom w:type="dxa" w:w="50"/>
              <w:right w:type="dxa" w:w="90"/>
            </w:tcMar>
            <w:vAlign w:val="center"/>
          </w:tcPr>
          <w:p>
            <w:pPr>
              <w:spacing w:after="20"/>
              <w:jc w:val="left"/>
            </w:pPr>
            <w:r>
              <w:rPr>
                <w:sz w:val="18"/>
                <w:szCs w:val="18"/>
              </w:rPr>
              <w:t xml:space="preserve">Categórica binaria (SI/NO)</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Se usa para definir el mercado donde compite</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Precio Leche</w:t>
            </w:r>
          </w:p>
        </w:tc>
        <w:tc>
          <w:tcPr>
            <w:tcW w:type="dxa" w:w="2900"/>
            <w:tcMar>
              <w:top w:type="dxa" w:w="50"/>
              <w:left w:type="dxa" w:w="90"/>
              <w:bottom w:type="dxa" w:w="50"/>
              <w:right w:type="dxa" w:w="90"/>
            </w:tcMar>
            <w:vAlign w:val="center"/>
          </w:tcPr>
          <w:p>
            <w:pPr>
              <w:spacing w:after="20"/>
              <w:jc w:val="left"/>
            </w:pPr>
            <w:r>
              <w:rPr>
                <w:sz w:val="18"/>
                <w:szCs w:val="18"/>
              </w:rPr>
              <w:t xml:space="preserve">Numérica (COP/litro)</w:t>
            </w:r>
          </w:p>
        </w:tc>
        <w:tc>
          <w:tcPr>
            <w:tcW w:type="dxa" w:w="1400"/>
            <w:tcMar>
              <w:top w:type="dxa" w:w="50"/>
              <w:left w:type="dxa" w:w="90"/>
              <w:bottom w:type="dxa" w:w="50"/>
              <w:right w:type="dxa" w:w="90"/>
            </w:tcMar>
            <w:vAlign w:val="center"/>
          </w:tcPr>
          <w:p>
            <w:pPr>
              <w:spacing w:after="20"/>
              <w:jc w:val="right"/>
            </w:pPr>
            <w:r>
              <w:rPr>
                <w:sz w:val="18"/>
                <w:szCs w:val="18"/>
              </w:rPr>
              <w:t xml:space="preserve">5.616 (67,9%)</w:t>
            </w:r>
          </w:p>
        </w:tc>
        <w:tc>
          <w:tcPr>
            <w:tcW w:type="dxa" w:w="3060"/>
            <w:tcMar>
              <w:top w:type="dxa" w:w="50"/>
              <w:left w:type="dxa" w:w="90"/>
              <w:bottom w:type="dxa" w:w="50"/>
              <w:right w:type="dxa" w:w="90"/>
            </w:tcMar>
            <w:vAlign w:val="center"/>
          </w:tcPr>
          <w:p>
            <w:pPr>
              <w:spacing w:after="20"/>
              <w:jc w:val="left"/>
            </w:pPr>
            <w:r>
              <w:rPr>
                <w:sz w:val="18"/>
                <w:szCs w:val="18"/>
              </w:rPr>
              <w:t xml:space="preserve">Solo bovinos (faltante por diseño)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Precio Carne Res</w:t>
            </w:r>
          </w:p>
        </w:tc>
        <w:tc>
          <w:tcPr>
            <w:tcW w:type="dxa" w:w="2900"/>
            <w:tcMar>
              <w:top w:type="dxa" w:w="50"/>
              <w:left w:type="dxa" w:w="90"/>
              <w:bottom w:type="dxa" w:w="50"/>
              <w:right w:type="dxa" w:w="90"/>
            </w:tcMar>
            <w:vAlign w:val="center"/>
          </w:tcPr>
          <w:p>
            <w:pPr>
              <w:spacing w:after="20"/>
              <w:jc w:val="left"/>
            </w:pPr>
            <w:r>
              <w:rPr>
                <w:sz w:val="18"/>
                <w:szCs w:val="18"/>
              </w:rPr>
              <w:t xml:space="preserve">Numérica (COP/kg, ganado en pie)</w:t>
            </w:r>
          </w:p>
        </w:tc>
        <w:tc>
          <w:tcPr>
            <w:tcW w:type="dxa" w:w="1400"/>
            <w:tcMar>
              <w:top w:type="dxa" w:w="50"/>
              <w:left w:type="dxa" w:w="90"/>
              <w:bottom w:type="dxa" w:w="50"/>
              <w:right w:type="dxa" w:w="90"/>
            </w:tcMar>
            <w:vAlign w:val="center"/>
          </w:tcPr>
          <w:p>
            <w:pPr>
              <w:spacing w:after="20"/>
              <w:jc w:val="right"/>
            </w:pPr>
            <w:r>
              <w:rPr>
                <w:sz w:val="18"/>
                <w:szCs w:val="18"/>
              </w:rPr>
              <w:t xml:space="preserve">5.616 (67,9%)</w:t>
            </w:r>
          </w:p>
        </w:tc>
        <w:tc>
          <w:tcPr>
            <w:tcW w:type="dxa" w:w="3060"/>
            <w:tcMar>
              <w:top w:type="dxa" w:w="50"/>
              <w:left w:type="dxa" w:w="90"/>
              <w:bottom w:type="dxa" w:w="50"/>
              <w:right w:type="dxa" w:w="90"/>
            </w:tcMar>
            <w:vAlign w:val="center"/>
          </w:tcPr>
          <w:p>
            <w:pPr>
              <w:spacing w:after="20"/>
              <w:jc w:val="left"/>
            </w:pPr>
            <w:r>
              <w:rPr>
                <w:sz w:val="18"/>
                <w:szCs w:val="18"/>
              </w:rPr>
              <w:t xml:space="preserve">Solo bovinos (por diseño)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Precio carne cerdo</w:t>
            </w:r>
          </w:p>
        </w:tc>
        <w:tc>
          <w:tcPr>
            <w:tcW w:type="dxa" w:w="2900"/>
            <w:tcMar>
              <w:top w:type="dxa" w:w="50"/>
              <w:left w:type="dxa" w:w="90"/>
              <w:bottom w:type="dxa" w:w="50"/>
              <w:right w:type="dxa" w:w="90"/>
            </w:tcMar>
            <w:vAlign w:val="center"/>
          </w:tcPr>
          <w:p>
            <w:pPr>
              <w:spacing w:after="20"/>
              <w:jc w:val="left"/>
            </w:pPr>
            <w:r>
              <w:rPr>
                <w:sz w:val="18"/>
                <w:szCs w:val="18"/>
              </w:rPr>
              <w:t xml:space="preserve">Numérica (COP/kg, cerdo en pie)</w:t>
            </w:r>
          </w:p>
        </w:tc>
        <w:tc>
          <w:tcPr>
            <w:tcW w:type="dxa" w:w="1400"/>
            <w:tcMar>
              <w:top w:type="dxa" w:w="50"/>
              <w:left w:type="dxa" w:w="90"/>
              <w:bottom w:type="dxa" w:w="50"/>
              <w:right w:type="dxa" w:w="90"/>
            </w:tcMar>
            <w:vAlign w:val="center"/>
          </w:tcPr>
          <w:p>
            <w:pPr>
              <w:spacing w:after="20"/>
              <w:jc w:val="right"/>
            </w:pPr>
            <w:r>
              <w:rPr>
                <w:sz w:val="18"/>
                <w:szCs w:val="18"/>
              </w:rPr>
              <w:t xml:space="preserve">7.020 (84,9%)</w:t>
            </w:r>
          </w:p>
        </w:tc>
        <w:tc>
          <w:tcPr>
            <w:tcW w:type="dxa" w:w="3060"/>
            <w:tcMar>
              <w:top w:type="dxa" w:w="50"/>
              <w:left w:type="dxa" w:w="90"/>
              <w:bottom w:type="dxa" w:w="50"/>
              <w:right w:type="dxa" w:w="90"/>
            </w:tcMar>
            <w:vAlign w:val="center"/>
          </w:tcPr>
          <w:p>
            <w:pPr>
              <w:spacing w:after="20"/>
              <w:jc w:val="left"/>
            </w:pPr>
            <w:r>
              <w:rPr>
                <w:sz w:val="18"/>
                <w:szCs w:val="18"/>
              </w:rPr>
              <w:t xml:space="preserve">Solo cerdos (por diseño)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Precio huevo</w:t>
            </w:r>
          </w:p>
        </w:tc>
        <w:tc>
          <w:tcPr>
            <w:tcW w:type="dxa" w:w="2900"/>
            <w:tcMar>
              <w:top w:type="dxa" w:w="50"/>
              <w:left w:type="dxa" w:w="90"/>
              <w:bottom w:type="dxa" w:w="50"/>
              <w:right w:type="dxa" w:w="90"/>
            </w:tcMar>
            <w:vAlign w:val="center"/>
          </w:tcPr>
          <w:p>
            <w:pPr>
              <w:spacing w:after="20"/>
              <w:jc w:val="left"/>
            </w:pPr>
            <w:r>
              <w:rPr>
                <w:sz w:val="18"/>
                <w:szCs w:val="18"/>
              </w:rPr>
              <w:t xml:space="preserve">Numérica (COP)</w:t>
            </w:r>
          </w:p>
        </w:tc>
        <w:tc>
          <w:tcPr>
            <w:tcW w:type="dxa" w:w="1400"/>
            <w:tcMar>
              <w:top w:type="dxa" w:w="50"/>
              <w:left w:type="dxa" w:w="90"/>
              <w:bottom w:type="dxa" w:w="50"/>
              <w:right w:type="dxa" w:w="90"/>
            </w:tcMar>
            <w:vAlign w:val="center"/>
          </w:tcPr>
          <w:p>
            <w:pPr>
              <w:spacing w:after="20"/>
              <w:jc w:val="right"/>
            </w:pPr>
            <w:r>
              <w:rPr>
                <w:sz w:val="18"/>
                <w:szCs w:val="18"/>
              </w:rPr>
              <w:t xml:space="preserve">6.396 (77,4%)</w:t>
            </w:r>
          </w:p>
        </w:tc>
        <w:tc>
          <w:tcPr>
            <w:tcW w:type="dxa" w:w="3060"/>
            <w:tcMar>
              <w:top w:type="dxa" w:w="50"/>
              <w:left w:type="dxa" w:w="90"/>
              <w:bottom w:type="dxa" w:w="50"/>
              <w:right w:type="dxa" w:w="90"/>
            </w:tcMar>
            <w:vAlign w:val="center"/>
          </w:tcPr>
          <w:p>
            <w:pPr>
              <w:spacing w:after="20"/>
              <w:jc w:val="left"/>
            </w:pPr>
            <w:r>
              <w:rPr>
                <w:sz w:val="18"/>
                <w:szCs w:val="18"/>
              </w:rPr>
              <w:t xml:space="preserve">Solo aves (por diseño)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Precio Pollo</w:t>
            </w:r>
          </w:p>
        </w:tc>
        <w:tc>
          <w:tcPr>
            <w:tcW w:type="dxa" w:w="2900"/>
            <w:tcMar>
              <w:top w:type="dxa" w:w="50"/>
              <w:left w:type="dxa" w:w="90"/>
              <w:bottom w:type="dxa" w:w="50"/>
              <w:right w:type="dxa" w:w="90"/>
            </w:tcMar>
            <w:vAlign w:val="center"/>
          </w:tcPr>
          <w:p>
            <w:pPr>
              <w:spacing w:after="20"/>
              <w:jc w:val="left"/>
            </w:pPr>
            <w:r>
              <w:rPr>
                <w:sz w:val="18"/>
                <w:szCs w:val="18"/>
              </w:rPr>
              <w:t xml:space="preserve">Numérica (COP/kg)</w:t>
            </w:r>
          </w:p>
        </w:tc>
        <w:tc>
          <w:tcPr>
            <w:tcW w:type="dxa" w:w="1400"/>
            <w:tcMar>
              <w:top w:type="dxa" w:w="50"/>
              <w:left w:type="dxa" w:w="90"/>
              <w:bottom w:type="dxa" w:w="50"/>
              <w:right w:type="dxa" w:w="90"/>
            </w:tcMar>
            <w:vAlign w:val="center"/>
          </w:tcPr>
          <w:p>
            <w:pPr>
              <w:spacing w:after="20"/>
              <w:jc w:val="right"/>
            </w:pPr>
            <w:r>
              <w:rPr>
                <w:sz w:val="18"/>
                <w:szCs w:val="18"/>
              </w:rPr>
              <w:t xml:space="preserve">6.396 (77,4%)</w:t>
            </w:r>
          </w:p>
        </w:tc>
        <w:tc>
          <w:tcPr>
            <w:tcW w:type="dxa" w:w="3060"/>
            <w:tcMar>
              <w:top w:type="dxa" w:w="50"/>
              <w:left w:type="dxa" w:w="90"/>
              <w:bottom w:type="dxa" w:w="50"/>
              <w:right w:type="dxa" w:w="90"/>
            </w:tcMar>
            <w:vAlign w:val="center"/>
          </w:tcPr>
          <w:p>
            <w:pPr>
              <w:spacing w:after="20"/>
              <w:jc w:val="left"/>
            </w:pPr>
            <w:r>
              <w:rPr>
                <w:sz w:val="18"/>
                <w:szCs w:val="18"/>
              </w:rPr>
              <w:t xml:space="preserve">Solo aves (por diseño)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Perros</w:t>
            </w:r>
          </w:p>
        </w:tc>
        <w:tc>
          <w:tcPr>
            <w:tcW w:type="dxa" w:w="2900"/>
            <w:tcMar>
              <w:top w:type="dxa" w:w="50"/>
              <w:left w:type="dxa" w:w="90"/>
              <w:bottom w:type="dxa" w:w="50"/>
              <w:right w:type="dxa" w:w="90"/>
            </w:tcMar>
            <w:vAlign w:val="center"/>
          </w:tcPr>
          <w:p>
            <w:pPr>
              <w:spacing w:after="20"/>
              <w:jc w:val="left"/>
            </w:pPr>
            <w:r>
              <w:rPr>
                <w:sz w:val="18"/>
                <w:szCs w:val="18"/>
              </w:rPr>
              <w:t xml:space="preserve">Entera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5.772 (69,8%)</w:t>
            </w:r>
          </w:p>
        </w:tc>
        <w:tc>
          <w:tcPr>
            <w:tcW w:type="dxa" w:w="3060"/>
            <w:tcMar>
              <w:top w:type="dxa" w:w="50"/>
              <w:left w:type="dxa" w:w="90"/>
              <w:bottom w:type="dxa" w:w="50"/>
              <w:right w:type="dxa" w:w="90"/>
            </w:tcMar>
            <w:vAlign w:val="center"/>
          </w:tcPr>
          <w:p>
            <w:pPr>
              <w:spacing w:after="20"/>
              <w:jc w:val="left"/>
            </w:pPr>
            <w:r>
              <w:rPr>
                <w:sz w:val="18"/>
                <w:szCs w:val="18"/>
              </w:rPr>
              <w:t xml:space="preserve">Solo animales de compañía; no se usa en el modelo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Gatos</w:t>
            </w:r>
          </w:p>
        </w:tc>
        <w:tc>
          <w:tcPr>
            <w:tcW w:type="dxa" w:w="2900"/>
            <w:tcMar>
              <w:top w:type="dxa" w:w="50"/>
              <w:left w:type="dxa" w:w="90"/>
              <w:bottom w:type="dxa" w:w="50"/>
              <w:right w:type="dxa" w:w="90"/>
            </w:tcMar>
            <w:vAlign w:val="center"/>
          </w:tcPr>
          <w:p>
            <w:pPr>
              <w:spacing w:after="20"/>
              <w:jc w:val="left"/>
            </w:pPr>
            <w:r>
              <w:rPr>
                <w:sz w:val="18"/>
                <w:szCs w:val="18"/>
              </w:rPr>
              <w:t xml:space="preserve">Entera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5.772 (69,8%)</w:t>
            </w:r>
          </w:p>
        </w:tc>
        <w:tc>
          <w:tcPr>
            <w:tcW w:type="dxa" w:w="3060"/>
            <w:tcMar>
              <w:top w:type="dxa" w:w="50"/>
              <w:left w:type="dxa" w:w="90"/>
              <w:bottom w:type="dxa" w:w="50"/>
              <w:right w:type="dxa" w:w="90"/>
            </w:tcMar>
            <w:vAlign w:val="center"/>
          </w:tcPr>
          <w:p>
            <w:pPr>
              <w:spacing w:after="20"/>
              <w:jc w:val="left"/>
            </w:pPr>
            <w:r>
              <w:rPr>
                <w:sz w:val="18"/>
                <w:szCs w:val="18"/>
              </w:rPr>
              <w:t xml:space="preserve">Solo animales de compañía; no se usa en el modelo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IPC</w:t>
            </w:r>
          </w:p>
        </w:tc>
        <w:tc>
          <w:tcPr>
            <w:tcW w:type="dxa" w:w="2900"/>
            <w:tcMar>
              <w:top w:type="dxa" w:w="50"/>
              <w:left w:type="dxa" w:w="90"/>
              <w:bottom w:type="dxa" w:w="50"/>
              <w:right w:type="dxa" w:w="90"/>
            </w:tcMar>
            <w:vAlign w:val="center"/>
          </w:tcPr>
          <w:p>
            <w:pPr>
              <w:spacing w:after="20"/>
              <w:jc w:val="left"/>
            </w:pPr>
            <w:r>
              <w:rPr>
                <w:sz w:val="18"/>
                <w:szCs w:val="18"/>
              </w:rPr>
              <w:t xml:space="preserve">Numérica (índice)</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Inflación Mensual</w:t>
            </w:r>
          </w:p>
        </w:tc>
        <w:tc>
          <w:tcPr>
            <w:tcW w:type="dxa" w:w="29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PIB</w:t>
            </w:r>
          </w:p>
        </w:tc>
        <w:tc>
          <w:tcPr>
            <w:tcW w:type="dxa" w:w="2900"/>
            <w:tcMar>
              <w:top w:type="dxa" w:w="50"/>
              <w:left w:type="dxa" w:w="90"/>
              <w:bottom w:type="dxa" w:w="50"/>
              <w:right w:type="dxa" w:w="90"/>
            </w:tcMar>
            <w:vAlign w:val="center"/>
          </w:tcPr>
          <w:p>
            <w:pPr>
              <w:spacing w:after="20"/>
              <w:jc w:val="left"/>
            </w:pPr>
            <w:r>
              <w:rPr>
                <w:sz w:val="18"/>
                <w:szCs w:val="18"/>
              </w:rPr>
              <w:t xml:space="preserve">Numérica (% anual)</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PIB Agro</w:t>
            </w:r>
          </w:p>
        </w:tc>
        <w:tc>
          <w:tcPr>
            <w:tcW w:type="dxa" w:w="2900"/>
            <w:tcMar>
              <w:top w:type="dxa" w:w="50"/>
              <w:left w:type="dxa" w:w="90"/>
              <w:bottom w:type="dxa" w:w="50"/>
              <w:right w:type="dxa" w:w="90"/>
            </w:tcMar>
            <w:vAlign w:val="center"/>
          </w:tcPr>
          <w:p>
            <w:pPr>
              <w:spacing w:after="20"/>
              <w:jc w:val="left"/>
            </w:pPr>
            <w:r>
              <w:rPr>
                <w:sz w:val="18"/>
                <w:szCs w:val="18"/>
              </w:rPr>
              <w:t xml:space="preserve">Numérica (% anual)</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Porc Crec SMMLV</w:t>
            </w:r>
          </w:p>
        </w:tc>
        <w:tc>
          <w:tcPr>
            <w:tcW w:type="dxa" w:w="29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Un valor por año</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Venta Laboratorio</w:t>
            </w:r>
          </w:p>
        </w:tc>
        <w:tc>
          <w:tcPr>
            <w:tcW w:type="dxa" w:w="2900"/>
            <w:tcMar>
              <w:top w:type="dxa" w:w="50"/>
              <w:left w:type="dxa" w:w="90"/>
              <w:bottom w:type="dxa" w:w="50"/>
              <w:right w:type="dxa" w:w="90"/>
            </w:tcMar>
            <w:vAlign w:val="center"/>
          </w:tcPr>
          <w:p>
            <w:pPr>
              <w:spacing w:after="20"/>
              <w:jc w:val="left"/>
            </w:pPr>
            <w:r>
              <w:rPr>
                <w:sz w:val="18"/>
                <w:szCs w:val="18"/>
              </w:rPr>
              <w:t xml:space="preserve">Numérica (COP; texto con comas)</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Cero antes de 2022; incluye devoluciones negativas</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Share Laboratorio</w:t>
            </w:r>
          </w:p>
        </w:tc>
        <w:tc>
          <w:tcPr>
            <w:tcW w:type="dxa" w:w="2900"/>
            <w:tcMar>
              <w:top w:type="dxa" w:w="50"/>
              <w:left w:type="dxa" w:w="90"/>
              <w:bottom w:type="dxa" w:w="50"/>
              <w:right w:type="dxa" w:w="90"/>
            </w:tcMar>
            <w:vAlign w:val="center"/>
          </w:tcPr>
          <w:p>
            <w:pPr>
              <w:spacing w:after="20"/>
              <w:jc w:val="left"/>
            </w:pPr>
            <w:r>
              <w:rPr>
                <w:sz w:val="18"/>
                <w:szCs w:val="18"/>
              </w:rPr>
              <w:t xml:space="preserve">Numérica (fracción)</w:t>
            </w:r>
          </w:p>
        </w:tc>
        <w:tc>
          <w:tcPr>
            <w:tcW w:type="dxa" w:w="1400"/>
            <w:tcMar>
              <w:top w:type="dxa" w:w="50"/>
              <w:left w:type="dxa" w:w="90"/>
              <w:bottom w:type="dxa" w:w="50"/>
              <w:right w:type="dxa" w:w="90"/>
            </w:tcMar>
            <w:vAlign w:val="center"/>
          </w:tcPr>
          <w:p>
            <w:pPr>
              <w:spacing w:after="20"/>
              <w:jc w:val="right"/>
            </w:pPr>
            <w:r>
              <w:rPr>
                <w:sz w:val="18"/>
                <w:szCs w:val="18"/>
              </w:rPr>
              <w:t xml:space="preserve">0 (0,0%)</w:t>
            </w:r>
          </w:p>
        </w:tc>
        <w:tc>
          <w:tcPr>
            <w:tcW w:type="dxa" w:w="3060"/>
            <w:tcMar>
              <w:top w:type="dxa" w:w="50"/>
              <w:left w:type="dxa" w:w="90"/>
              <w:bottom w:type="dxa" w:w="50"/>
              <w:right w:type="dxa" w:w="90"/>
            </w:tcMar>
            <w:vAlign w:val="center"/>
          </w:tcPr>
          <w:p>
            <w:pPr>
              <w:spacing w:after="20"/>
              <w:jc w:val="left"/>
            </w:pPr>
            <w:r>
              <w:rPr>
                <w:sz w:val="18"/>
                <w:szCs w:val="18"/>
              </w:rPr>
              <w:t xml:space="preserve">Puede superar 1 (ver Tabla 2)</w:t>
            </w:r>
          </w:p>
        </w:tc>
      </w:tr>
      <w:tr>
        <w:trPr>
          <w:cantSplit/>
        </w:trPr>
        <w:tc>
          <w:tcPr>
            <w:tcW w:type="dxa" w:w="2000"/>
            <w:tcMar>
              <w:top w:type="dxa" w:w="50"/>
              <w:left w:type="dxa" w:w="90"/>
              <w:bottom w:type="dxa" w:w="50"/>
              <w:right w:type="dxa" w:w="90"/>
            </w:tcMar>
            <w:vAlign w:val="center"/>
          </w:tcPr>
          <w:p>
            <w:pPr>
              <w:spacing w:after="20"/>
              <w:jc w:val="left"/>
            </w:pPr>
            <w:r>
              <w:rPr>
                <w:sz w:val="18"/>
                <w:szCs w:val="18"/>
              </w:rPr>
              <w:t xml:space="preserve">Crec Laboratorio año</w:t>
            </w:r>
          </w:p>
        </w:tc>
        <w:tc>
          <w:tcPr>
            <w:tcW w:type="dxa" w:w="2900"/>
            <w:tcMar>
              <w:top w:type="dxa" w:w="50"/>
              <w:left w:type="dxa" w:w="90"/>
              <w:bottom w:type="dxa" w:w="50"/>
              <w:right w:type="dxa" w:w="90"/>
            </w:tcMar>
            <w:vAlign w:val="center"/>
          </w:tcPr>
          <w:p>
            <w:pPr>
              <w:spacing w:after="20"/>
              <w:jc w:val="left"/>
            </w:pPr>
            <w:r>
              <w:rPr>
                <w:sz w:val="18"/>
                <w:szCs w:val="18"/>
              </w:rPr>
              <w:t xml:space="preserve">Fracción (crecimiento anual de la venta)</w:t>
            </w:r>
          </w:p>
        </w:tc>
        <w:tc>
          <w:tcPr>
            <w:tcW w:type="dxa" w:w="1400"/>
            <w:tcMar>
              <w:top w:type="dxa" w:w="50"/>
              <w:left w:type="dxa" w:w="90"/>
              <w:bottom w:type="dxa" w:w="50"/>
              <w:right w:type="dxa" w:w="90"/>
            </w:tcMar>
            <w:vAlign w:val="center"/>
          </w:tcPr>
          <w:p>
            <w:pPr>
              <w:spacing w:after="20"/>
              <w:jc w:val="right"/>
            </w:pPr>
            <w:r>
              <w:rPr>
                <w:sz w:val="18"/>
                <w:szCs w:val="18"/>
              </w:rPr>
              <w:t xml:space="preserve">6.618 (80,0%)</w:t>
            </w:r>
          </w:p>
        </w:tc>
        <w:tc>
          <w:tcPr>
            <w:tcW w:type="dxa" w:w="3060"/>
            <w:tcMar>
              <w:top w:type="dxa" w:w="50"/>
              <w:left w:type="dxa" w:w="90"/>
              <w:bottom w:type="dxa" w:w="50"/>
              <w:right w:type="dxa" w:w="90"/>
            </w:tcMar>
            <w:vAlign w:val="center"/>
          </w:tcPr>
          <w:p>
            <w:pPr>
              <w:spacing w:after="20"/>
              <w:jc w:val="left"/>
            </w:pPr>
            <w:r>
              <w:rPr>
                <w:sz w:val="18"/>
                <w:szCs w:val="18"/>
              </w:rPr>
              <w:t xml:space="preserve">Vacío antes de que existan 12 meses de venta</w:t>
            </w:r>
          </w:p>
        </w:tc>
      </w:tr>
    </w:tbl>
    <w:p>
      <w:pPr>
        <w:spacing w:after="200" w:before="60"/>
      </w:pPr>
      <w:r>
        <w:rPr>
          <w:i/>
          <w:iCs/>
          <w:color w:val="5E6E69"/>
          <w:sz w:val="18"/>
          <w:szCs w:val="18"/>
        </w:rPr>
        <w:t xml:space="preserve">Los faltantes de precios y de población son estructurales: cada precio solo aplica a una especie. No son datos perdidos y no se imputaron.</w:t>
      </w:r>
    </w:p>
    <w:p>
      <w:pPr>
        <w:pStyle w:val="Heading2"/>
      </w:pPr>
      <w:r>
        <w:t xml:space="preserve">2.2 Diagnóstico de calidad</w:t>
      </w:r>
    </w:p>
    <w:p>
      <w:pPr>
        <w:spacing w:after="120" w:line="276"/>
      </w:pPr>
      <w:r>
        <w:t xml:space="preserve">Los hallazgos se ordenan por su efecto sobre la validez del modelo. P1 limita la conclusión; P2 exige un tratamiento explícito; P3 es de orden técnico.</w:t>
      </w:r>
    </w:p>
    <w:p>
      <w:pPr>
        <w:keepNext/>
        <w:spacing w:after="60" w:before="160"/>
      </w:pPr>
      <w:r>
        <w:rPr>
          <w:b/>
          <w:bCs/>
          <w:color w:val="13201C"/>
          <w:sz w:val="19"/>
          <w:szCs w:val="19"/>
        </w:rPr>
        <w:t xml:space="preserve">Tabla 2. Hallazgos de calidad priorizados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000"/>
        <w:gridCol w:w="1800"/>
        <w:gridCol w:w="3500"/>
        <w:gridCol w:w="3060"/>
      </w:tblGrid>
      <w:tr>
        <w:trPr>
          <w:cantSplit/>
          <w:tblHeader/>
        </w:trPr>
        <w:tc>
          <w:tcPr>
            <w:tcW w:type="dxa" w:w="1000"/>
            <w:shd w:fill="E4EEEB" w:color="auto" w:val="clear"/>
            <w:tcMar>
              <w:top w:type="dxa" w:w="50"/>
              <w:left w:type="dxa" w:w="90"/>
              <w:bottom w:type="dxa" w:w="50"/>
              <w:right w:type="dxa" w:w="90"/>
            </w:tcMar>
            <w:vAlign w:val="center"/>
          </w:tcPr>
          <w:p>
            <w:pPr>
              <w:spacing w:after="20"/>
              <w:jc w:val="left"/>
            </w:pPr>
            <w:r>
              <w:rPr>
                <w:b/>
                <w:bCs/>
                <w:sz w:val="18"/>
                <w:szCs w:val="18"/>
              </w:rPr>
              <w:t xml:space="preserve">Prioridad</w:t>
            </w:r>
          </w:p>
        </w:tc>
        <w:tc>
          <w:tcPr>
            <w:tcW w:type="dxa" w:w="1800"/>
            <w:shd w:fill="E4EEEB" w:color="auto" w:val="clear"/>
            <w:tcMar>
              <w:top w:type="dxa" w:w="50"/>
              <w:left w:type="dxa" w:w="90"/>
              <w:bottom w:type="dxa" w:w="50"/>
              <w:right w:type="dxa" w:w="90"/>
            </w:tcMar>
            <w:vAlign w:val="center"/>
          </w:tcPr>
          <w:p>
            <w:pPr>
              <w:spacing w:after="20"/>
              <w:jc w:val="left"/>
            </w:pPr>
            <w:r>
              <w:rPr>
                <w:b/>
                <w:bCs/>
                <w:sz w:val="18"/>
                <w:szCs w:val="18"/>
              </w:rPr>
              <w:t xml:space="preserve">Hallazgo</w:t>
            </w:r>
          </w:p>
        </w:tc>
        <w:tc>
          <w:tcPr>
            <w:tcW w:type="dxa" w:w="3500"/>
            <w:shd w:fill="E4EEEB" w:color="auto" w:val="clear"/>
            <w:tcMar>
              <w:top w:type="dxa" w:w="50"/>
              <w:left w:type="dxa" w:w="90"/>
              <w:bottom w:type="dxa" w:w="50"/>
              <w:right w:type="dxa" w:w="90"/>
            </w:tcMar>
            <w:vAlign w:val="center"/>
          </w:tcPr>
          <w:p>
            <w:pPr>
              <w:spacing w:after="20"/>
              <w:jc w:val="left"/>
            </w:pPr>
            <w:r>
              <w:rPr>
                <w:b/>
                <w:bCs/>
                <w:sz w:val="18"/>
                <w:szCs w:val="18"/>
              </w:rPr>
              <w:t xml:space="preserve">Evidencia</w:t>
            </w:r>
          </w:p>
        </w:tc>
        <w:tc>
          <w:tcPr>
            <w:tcW w:type="dxa" w:w="3060"/>
            <w:shd w:fill="E4EEEB" w:color="auto" w:val="clear"/>
            <w:tcMar>
              <w:top w:type="dxa" w:w="50"/>
              <w:left w:type="dxa" w:w="90"/>
              <w:bottom w:type="dxa" w:w="50"/>
              <w:right w:type="dxa" w:w="90"/>
            </w:tcMar>
            <w:vAlign w:val="center"/>
          </w:tcPr>
          <w:p>
            <w:pPr>
              <w:spacing w:after="20"/>
              <w:jc w:val="left"/>
            </w:pPr>
            <w:r>
              <w:rPr>
                <w:b/>
                <w:bCs/>
                <w:sz w:val="18"/>
                <w:szCs w:val="18"/>
              </w:rPr>
              <w:t xml:space="preserve">Tratamiento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Historia corta</w:t>
            </w:r>
          </w:p>
        </w:tc>
        <w:tc>
          <w:tcPr>
            <w:tcW w:type="dxa" w:w="3500"/>
            <w:tcMar>
              <w:top w:type="dxa" w:w="50"/>
              <w:left w:type="dxa" w:w="90"/>
              <w:bottom w:type="dxa" w:w="50"/>
              <w:right w:type="dxa" w:w="90"/>
            </w:tcMar>
            <w:vAlign w:val="center"/>
          </w:tcPr>
          <w:p>
            <w:pPr>
              <w:spacing w:after="20"/>
              <w:jc w:val="left"/>
            </w:pPr>
            <w:r>
              <w:rPr>
                <w:sz w:val="18"/>
                <w:szCs w:val="18"/>
              </w:rPr>
              <w:t xml:space="preserve">Mercado: 78 meses (cinco años completos y seis meses de 2026). Variables macro: un valor por año (siete valores distintos de PIB, PIB agro y salario mínimo).</w:t>
            </w:r>
          </w:p>
        </w:tc>
        <w:tc>
          <w:tcPr>
            <w:tcW w:type="dxa" w:w="3060"/>
            <w:tcMar>
              <w:top w:type="dxa" w:w="50"/>
              <w:left w:type="dxa" w:w="90"/>
              <w:bottom w:type="dxa" w:w="50"/>
              <w:right w:type="dxa" w:w="90"/>
            </w:tcMar>
            <w:vAlign w:val="center"/>
          </w:tcPr>
          <w:p>
            <w:pPr>
              <w:spacing w:after="20"/>
              <w:jc w:val="left"/>
            </w:pPr>
            <w:r>
              <w:rPr>
                <w:sz w:val="18"/>
                <w:szCs w:val="18"/>
              </w:rPr>
              <w:t xml:space="preserve">Modelos muy regularizados; validación por bloques de tiempo; límites explícitos en la Sección 6.</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Ventas del Laboratorio desde 2022</w:t>
            </w:r>
          </w:p>
        </w:tc>
        <w:tc>
          <w:tcPr>
            <w:tcW w:type="dxa" w:w="3500"/>
            <w:tcMar>
              <w:top w:type="dxa" w:w="50"/>
              <w:left w:type="dxa" w:w="90"/>
              <w:bottom w:type="dxa" w:w="50"/>
              <w:right w:type="dxa" w:w="90"/>
            </w:tcMar>
            <w:vAlign w:val="center"/>
          </w:tcPr>
          <w:p>
            <w:pPr>
              <w:spacing w:after="20"/>
              <w:jc w:val="left"/>
            </w:pPr>
            <w:r>
              <w:rPr>
                <w:sz w:val="18"/>
                <w:szCs w:val="18"/>
              </w:rPr>
              <w:t xml:space="preserve">Cero en 2020; solo 34 registros con venta en 2021; 402 en 2022. Primer crecimiento de 12 meses disponible: diciembre de 2023.</w:t>
            </w:r>
          </w:p>
        </w:tc>
        <w:tc>
          <w:tcPr>
            <w:tcW w:type="dxa" w:w="3060"/>
            <w:tcMar>
              <w:top w:type="dxa" w:w="50"/>
              <w:left w:type="dxa" w:w="90"/>
              <w:bottom w:type="dxa" w:w="50"/>
              <w:right w:type="dxa" w:w="90"/>
            </w:tcMar>
            <w:vAlign w:val="center"/>
          </w:tcPr>
          <w:p>
            <w:pPr>
              <w:spacing w:after="20"/>
              <w:jc w:val="left"/>
            </w:pPr>
            <w:r>
              <w:rPr>
                <w:sz w:val="18"/>
                <w:szCs w:val="18"/>
              </w:rPr>
              <w:t xml:space="preserve">El modelo del Laboratorio se entrena con 25 meses por especie (100 filas); validación con embargo reducido.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P1</w:t>
            </w:r>
          </w:p>
        </w:tc>
        <w:tc>
          <w:tcPr>
            <w:tcW w:type="dxa" w:w="1800"/>
            <w:tcMar>
              <w:top w:type="dxa" w:w="50"/>
              <w:left w:type="dxa" w:w="90"/>
              <w:bottom w:type="dxa" w:w="50"/>
              <w:right w:type="dxa" w:w="90"/>
            </w:tcMar>
            <w:vAlign w:val="center"/>
          </w:tcPr>
          <w:p>
            <w:pPr>
              <w:spacing w:after="20"/>
              <w:jc w:val="left"/>
            </w:pPr>
            <w:r>
              <w:rPr>
                <w:sz w:val="18"/>
                <w:szCs w:val="18"/>
              </w:rPr>
              <w:t xml:space="preserve">Venta del Laboratorio mayor que el mercado</w:t>
            </w:r>
          </w:p>
        </w:tc>
        <w:tc>
          <w:tcPr>
            <w:tcW w:type="dxa" w:w="3500"/>
            <w:tcMar>
              <w:top w:type="dxa" w:w="50"/>
              <w:left w:type="dxa" w:w="90"/>
              <w:bottom w:type="dxa" w:w="50"/>
              <w:right w:type="dxa" w:w="90"/>
            </w:tcMar>
            <w:vAlign w:val="center"/>
          </w:tcPr>
          <w:p>
            <w:pPr>
              <w:spacing w:after="20"/>
              <w:jc w:val="left"/>
            </w:pPr>
            <w:r>
              <w:rPr>
                <w:sz w:val="18"/>
                <w:szCs w:val="18"/>
              </w:rPr>
              <w:t xml:space="preserve">77 filas con venta mayor que el mercado y 66 con participación mayor a 1 (hasta 96 veces), casi todas en cerdos (macrólidos, 2021 a 2023).</w:t>
            </w:r>
          </w:p>
        </w:tc>
        <w:tc>
          <w:tcPr>
            <w:tcW w:type="dxa" w:w="3060"/>
            <w:tcMar>
              <w:top w:type="dxa" w:w="50"/>
              <w:left w:type="dxa" w:w="90"/>
              <w:bottom w:type="dxa" w:w="50"/>
              <w:right w:type="dxa" w:w="90"/>
            </w:tcMar>
            <w:vAlign w:val="center"/>
          </w:tcPr>
          <w:p>
            <w:pPr>
              <w:spacing w:after="20"/>
              <w:jc w:val="left"/>
            </w:pPr>
            <w:r>
              <w:rPr>
                <w:sz w:val="18"/>
                <w:szCs w:val="18"/>
              </w:rPr>
              <w:t xml:space="preserve">Se conservan: el equipo confirmó que el Laboratorio lidera el mercado de cerdos. Posible diferencia de medición entre la venta interna y el sell-in de SIMVET </w:t>
            </w:r>
            <w:r>
              <w:rPr>
                <w:sz w:val="18"/>
                <w:szCs w:val="18"/>
                <w:highlight w:val="yellow"/>
                <w:highlightCs w:val="yellow"/>
              </w:rPr>
              <w:t xml:space="preserve">[confirmar si Zoetis es uno de los 31 laboratorios y si ambas mediciones tienen la misma definición]</w:t>
            </w:r>
            <w:r>
              <w:rPr>
                <w:sz w:val="18"/>
                <w:szCs w:val="18"/>
              </w:rPr>
              <w:t xml:space="preserve">.</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Mercado y laboratorio hasta junio de 2026</w:t>
            </w:r>
          </w:p>
        </w:tc>
        <w:tc>
          <w:tcPr>
            <w:tcW w:type="dxa" w:w="3500"/>
            <w:tcMar>
              <w:top w:type="dxa" w:w="50"/>
              <w:left w:type="dxa" w:w="90"/>
              <w:bottom w:type="dxa" w:w="50"/>
              <w:right w:type="dxa" w:w="90"/>
            </w:tcMar>
            <w:vAlign w:val="center"/>
          </w:tcPr>
          <w:p>
            <w:pPr>
              <w:spacing w:after="20"/>
              <w:jc w:val="left"/>
            </w:pPr>
            <w:r>
              <w:rPr>
                <w:sz w:val="18"/>
                <w:szCs w:val="18"/>
              </w:rPr>
              <w:t xml:space="preserve">El año 2026 solo tiene seis meses.</w:t>
            </w:r>
          </w:p>
        </w:tc>
        <w:tc>
          <w:tcPr>
            <w:tcW w:type="dxa" w:w="3060"/>
            <w:tcMar>
              <w:top w:type="dxa" w:w="50"/>
              <w:left w:type="dxa" w:w="90"/>
              <w:bottom w:type="dxa" w:w="50"/>
              <w:right w:type="dxa" w:w="90"/>
            </w:tcMar>
            <w:vAlign w:val="center"/>
          </w:tcPr>
          <w:p>
            <w:pPr>
              <w:spacing w:after="20"/>
              <w:jc w:val="left"/>
            </w:pPr>
            <w:r>
              <w:rPr>
                <w:sz w:val="18"/>
                <w:szCs w:val="18"/>
              </w:rPr>
              <w:t xml:space="preserve">No se completó: el crecimiento se mide con 12 meses móviles, y el de 2027 lo proyecta el modelo con las variables del escenario.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Meses con mercado en cero</w:t>
            </w:r>
          </w:p>
        </w:tc>
        <w:tc>
          <w:tcPr>
            <w:tcW w:type="dxa" w:w="3500"/>
            <w:tcMar>
              <w:top w:type="dxa" w:w="50"/>
              <w:left w:type="dxa" w:w="90"/>
              <w:bottom w:type="dxa" w:w="50"/>
              <w:right w:type="dxa" w:w="90"/>
            </w:tcMar>
            <w:vAlign w:val="center"/>
          </w:tcPr>
          <w:p>
            <w:pPr>
              <w:spacing w:after="20"/>
              <w:jc w:val="left"/>
            </w:pPr>
            <w:r>
              <w:rPr>
                <w:sz w:val="18"/>
                <w:szCs w:val="18"/>
              </w:rPr>
              <w:t xml:space="preserve">429 filas (5,2%).</w:t>
            </w:r>
          </w:p>
        </w:tc>
        <w:tc>
          <w:tcPr>
            <w:tcW w:type="dxa" w:w="3060"/>
            <w:tcMar>
              <w:top w:type="dxa" w:w="50"/>
              <w:left w:type="dxa" w:w="90"/>
              <w:bottom w:type="dxa" w:w="50"/>
              <w:right w:type="dxa" w:w="90"/>
            </w:tcMar>
            <w:vAlign w:val="center"/>
          </w:tcPr>
          <w:p>
            <w:pPr>
              <w:spacing w:after="20"/>
              <w:jc w:val="left"/>
            </w:pPr>
            <w:r>
              <w:rPr>
                <w:sz w:val="18"/>
                <w:szCs w:val="18"/>
              </w:rPr>
              <w:t xml:space="preserve">Se conservan; se agregan a nivel de especie.</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Ventas negativas del Laboratorio</w:t>
            </w:r>
          </w:p>
        </w:tc>
        <w:tc>
          <w:tcPr>
            <w:tcW w:type="dxa" w:w="3500"/>
            <w:tcMar>
              <w:top w:type="dxa" w:w="50"/>
              <w:left w:type="dxa" w:w="90"/>
              <w:bottom w:type="dxa" w:w="50"/>
              <w:right w:type="dxa" w:w="90"/>
            </w:tcMar>
            <w:vAlign w:val="center"/>
          </w:tcPr>
          <w:p>
            <w:pPr>
              <w:spacing w:after="20"/>
              <w:jc w:val="left"/>
            </w:pPr>
            <w:r>
              <w:rPr>
                <w:sz w:val="18"/>
                <w:szCs w:val="18"/>
              </w:rPr>
              <w:t xml:space="preserve">29 filas.</w:t>
            </w:r>
          </w:p>
        </w:tc>
        <w:tc>
          <w:tcPr>
            <w:tcW w:type="dxa" w:w="3060"/>
            <w:tcMar>
              <w:top w:type="dxa" w:w="50"/>
              <w:left w:type="dxa" w:w="90"/>
              <w:bottom w:type="dxa" w:w="50"/>
              <w:right w:type="dxa" w:w="90"/>
            </w:tcMar>
            <w:vAlign w:val="center"/>
          </w:tcPr>
          <w:p>
            <w:pPr>
              <w:spacing w:after="20"/>
              <w:jc w:val="left"/>
            </w:pPr>
            <w:r>
              <w:rPr>
                <w:sz w:val="18"/>
                <w:szCs w:val="18"/>
              </w:rPr>
              <w:t xml:space="preserve">Son devoluciones válidas (confirmado por el equipo); se conservan.</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P2</w:t>
            </w:r>
          </w:p>
        </w:tc>
        <w:tc>
          <w:tcPr>
            <w:tcW w:type="dxa" w:w="1800"/>
            <w:tcMar>
              <w:top w:type="dxa" w:w="50"/>
              <w:left w:type="dxa" w:w="90"/>
              <w:bottom w:type="dxa" w:w="50"/>
              <w:right w:type="dxa" w:w="90"/>
            </w:tcMar>
            <w:vAlign w:val="center"/>
          </w:tcPr>
          <w:p>
            <w:pPr>
              <w:spacing w:after="20"/>
              <w:jc w:val="left"/>
            </w:pPr>
            <w:r>
              <w:rPr>
                <w:sz w:val="18"/>
                <w:szCs w:val="18"/>
              </w:rPr>
              <w:t xml:space="preserve">Caída de aves en 2026</w:t>
            </w:r>
          </w:p>
        </w:tc>
        <w:tc>
          <w:tcPr>
            <w:tcW w:type="dxa" w:w="3500"/>
            <w:tcMar>
              <w:top w:type="dxa" w:w="50"/>
              <w:left w:type="dxa" w:w="90"/>
              <w:bottom w:type="dxa" w:w="50"/>
              <w:right w:type="dxa" w:w="90"/>
            </w:tcMar>
            <w:vAlign w:val="center"/>
          </w:tcPr>
          <w:p>
            <w:pPr>
              <w:spacing w:after="20"/>
              <w:jc w:val="left"/>
            </w:pPr>
            <w:r>
              <w:rPr>
                <w:sz w:val="18"/>
                <w:szCs w:val="18"/>
              </w:rPr>
              <w:t xml:space="preserve">Crecimiento de 12 meses de aproximadamente −6% a junio de 2026 en aves.</w:t>
            </w:r>
          </w:p>
        </w:tc>
        <w:tc>
          <w:tcPr>
            <w:tcW w:type="dxa" w:w="3060"/>
            <w:tcMar>
              <w:top w:type="dxa" w:w="50"/>
              <w:left w:type="dxa" w:w="90"/>
              <w:bottom w:type="dxa" w:w="50"/>
              <w:right w:type="dxa" w:w="90"/>
            </w:tcMar>
            <w:vAlign w:val="center"/>
          </w:tcPr>
          <w:p>
            <w:pPr>
              <w:spacing w:after="20"/>
              <w:jc w:val="left"/>
            </w:pPr>
            <w:r>
              <w:rPr>
                <w:sz w:val="18"/>
                <w:szCs w:val="18"/>
              </w:rPr>
              <w:t xml:space="preserve">Es real (confirmado). Es el principal desafío del examen.</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Marca "Compite Laboraorio"</w:t>
            </w:r>
          </w:p>
        </w:tc>
        <w:tc>
          <w:tcPr>
            <w:tcW w:type="dxa" w:w="3500"/>
            <w:tcMar>
              <w:top w:type="dxa" w:w="50"/>
              <w:left w:type="dxa" w:w="90"/>
              <w:bottom w:type="dxa" w:w="50"/>
              <w:right w:type="dxa" w:w="90"/>
            </w:tcMar>
            <w:vAlign w:val="center"/>
          </w:tcPr>
          <w:p>
            <w:pPr>
              <w:spacing w:after="20"/>
              <w:jc w:val="left"/>
            </w:pPr>
            <w:r>
              <w:rPr>
                <w:sz w:val="18"/>
                <w:szCs w:val="18"/>
              </w:rPr>
              <w:t xml:space="preserve">En 4 series la marca cambia mes a mes y coincide con los meses con venta del Laboratorio.</w:t>
            </w:r>
          </w:p>
        </w:tc>
        <w:tc>
          <w:tcPr>
            <w:tcW w:type="dxa" w:w="3060"/>
            <w:tcMar>
              <w:top w:type="dxa" w:w="50"/>
              <w:left w:type="dxa" w:w="90"/>
              <w:bottom w:type="dxa" w:w="50"/>
              <w:right w:type="dxa" w:w="90"/>
            </w:tcMar>
            <w:vAlign w:val="center"/>
          </w:tcPr>
          <w:p>
            <w:pPr>
              <w:spacing w:after="20"/>
              <w:jc w:val="left"/>
            </w:pPr>
            <w:r>
              <w:rPr>
                <w:sz w:val="18"/>
                <w:szCs w:val="18"/>
              </w:rPr>
              <w:t xml:space="preserve">Se fija una vez por serie con datos de desarrollo (36 series), para no meter la venta propia en la definición del mercado.</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Crecimiento anual de la base</w:t>
            </w:r>
          </w:p>
        </w:tc>
        <w:tc>
          <w:tcPr>
            <w:tcW w:type="dxa" w:w="3500"/>
            <w:tcMar>
              <w:top w:type="dxa" w:w="50"/>
              <w:left w:type="dxa" w:w="90"/>
              <w:bottom w:type="dxa" w:w="50"/>
              <w:right w:type="dxa" w:w="90"/>
            </w:tcMar>
            <w:vAlign w:val="center"/>
          </w:tcPr>
          <w:p>
            <w:pPr>
              <w:spacing w:after="20"/>
              <w:jc w:val="left"/>
            </w:pPr>
            <w:r>
              <w:rPr>
                <w:sz w:val="18"/>
                <w:szCs w:val="18"/>
              </w:rPr>
              <w:t xml:space="preserve">"Crec Mercado Q movil" coincide con el cálculo propio; "Crec Mercado Año" no coincide con crecimiento interanual, acumulado ni 12 meses móviles.</w:t>
            </w:r>
          </w:p>
        </w:tc>
        <w:tc>
          <w:tcPr>
            <w:tcW w:type="dxa" w:w="3060"/>
            <w:tcMar>
              <w:top w:type="dxa" w:w="50"/>
              <w:left w:type="dxa" w:w="90"/>
              <w:bottom w:type="dxa" w:w="50"/>
              <w:right w:type="dxa" w:w="90"/>
            </w:tcMar>
            <w:vAlign w:val="center"/>
          </w:tcPr>
          <w:p>
            <w:pPr>
              <w:spacing w:after="20"/>
              <w:jc w:val="left"/>
            </w:pPr>
            <w:r>
              <w:rPr>
                <w:sz w:val="18"/>
                <w:szCs w:val="18"/>
              </w:rPr>
              <w:t xml:space="preserve">Se recalculan todos los crecimientos; "Crec Mercado Año" no se usa.</w:t>
            </w:r>
          </w:p>
        </w:tc>
      </w:tr>
      <w:tr>
        <w:trPr>
          <w:cantSplit/>
        </w:trPr>
        <w:tc>
          <w:tcPr>
            <w:tcW w:type="dxa" w:w="1000"/>
            <w:tcMar>
              <w:top w:type="dxa" w:w="50"/>
              <w:left w:type="dxa" w:w="90"/>
              <w:bottom w:type="dxa" w:w="50"/>
              <w:right w:type="dxa" w:w="90"/>
            </w:tcMar>
            <w:vAlign w:val="center"/>
          </w:tcPr>
          <w:p>
            <w:pPr>
              <w:spacing w:after="20"/>
              <w:jc w:val="left"/>
            </w:pPr>
            <w:r>
              <w:rPr>
                <w:sz w:val="18"/>
                <w:szCs w:val="18"/>
              </w:rPr>
              <w:t xml:space="preserve">P3</w:t>
            </w:r>
          </w:p>
        </w:tc>
        <w:tc>
          <w:tcPr>
            <w:tcW w:type="dxa" w:w="1800"/>
            <w:tcMar>
              <w:top w:type="dxa" w:w="50"/>
              <w:left w:type="dxa" w:w="90"/>
              <w:bottom w:type="dxa" w:w="50"/>
              <w:right w:type="dxa" w:w="90"/>
            </w:tcMar>
            <w:vAlign w:val="center"/>
          </w:tcPr>
          <w:p>
            <w:pPr>
              <w:spacing w:after="20"/>
              <w:jc w:val="left"/>
            </w:pPr>
            <w:r>
              <w:rPr>
                <w:sz w:val="18"/>
                <w:szCs w:val="18"/>
              </w:rPr>
              <w:t xml:space="preserve">Formatos</w:t>
            </w:r>
          </w:p>
        </w:tc>
        <w:tc>
          <w:tcPr>
            <w:tcW w:type="dxa" w:w="3500"/>
            <w:tcMar>
              <w:top w:type="dxa" w:w="50"/>
              <w:left w:type="dxa" w:w="90"/>
              <w:bottom w:type="dxa" w:w="50"/>
              <w:right w:type="dxa" w:w="90"/>
            </w:tcMar>
            <w:vAlign w:val="center"/>
          </w:tcPr>
          <w:p>
            <w:pPr>
              <w:spacing w:after="20"/>
              <w:jc w:val="left"/>
            </w:pPr>
            <w:r>
              <w:rPr>
                <w:sz w:val="18"/>
                <w:szCs w:val="18"/>
              </w:rPr>
              <w:t xml:space="preserve">Números con comas de miles; encabezado con error de ortografía.</w:t>
            </w:r>
          </w:p>
        </w:tc>
        <w:tc>
          <w:tcPr>
            <w:tcW w:type="dxa" w:w="3060"/>
            <w:tcMar>
              <w:top w:type="dxa" w:w="50"/>
              <w:left w:type="dxa" w:w="90"/>
              <w:bottom w:type="dxa" w:w="50"/>
              <w:right w:type="dxa" w:w="90"/>
            </w:tcMar>
            <w:vAlign w:val="center"/>
          </w:tcPr>
          <w:p>
            <w:pPr>
              <w:spacing w:after="20"/>
              <w:jc w:val="left"/>
            </w:pPr>
            <w:r>
              <w:rPr>
                <w:sz w:val="18"/>
                <w:szCs w:val="18"/>
              </w:rPr>
              <w:t xml:space="preserve">Conversión al leer el archivo.</w:t>
            </w:r>
          </w:p>
        </w:tc>
      </w:tr>
    </w:tbl>
    <w:p>
      <w:pPr>
        <w:keepNext/>
        <w:spacing w:after="40" w:before="80"/>
        <w:jc w:val="center"/>
      </w:pPr>
      <w:r>
        <w:drawing>
          <wp:inline distT="0" distB="0" distL="0" distR="0">
            <wp:extent cx="5619750" cy="2238375"/>
            <wp:effectExtent t="0" r="0" b="0" l="0"/>
            <wp:docPr id="1" name="f1_historia.png" descr="f1_historia.png" title="f1_histor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38375"/>
                    </a:xfrm>
                    <a:prstGeom prst="rect">
                      <a:avLst/>
                    </a:prstGeom>
                  </pic:spPr>
                </pic:pic>
              </a:graphicData>
            </a:graphic>
          </wp:inline>
        </w:drawing>
      </w:r>
    </w:p>
    <w:p>
      <w:pPr>
        <w:spacing w:after="200" w:before="60"/>
      </w:pPr>
      <w:r>
        <w:rPr>
          <w:i/>
          <w:iCs/>
          <w:color w:val="5E6E69"/>
          <w:sz w:val="18"/>
          <w:szCs w:val="18"/>
        </w:rPr>
        <w:t xml:space="preserve">Figura 1. Crecimiento de 12 meses por especie al cierre de cada año y a junio de 2026. Líneas punteadas: umbrales de 8% y 15%.</w:t>
      </w:r>
    </w:p>
    <w:p>
      <w:pPr>
        <w:pStyle w:val="Heading2"/>
      </w:pPr>
      <w:r>
        <w:t xml:space="preserve">2.3 Sesgo y representatividad</w:t>
      </w:r>
    </w:p>
    <w:p>
      <w:pPr>
        <w:pStyle w:val="ListParagraph"/>
        <w:numPr>
          <w:ilvl w:val="0"/>
          <w:numId w:val="2"/>
        </w:numPr>
        <w:spacing w:after="60" w:line="264"/>
      </w:pPr>
      <w:r>
        <w:rPr>
          <w:b/>
          <w:bCs/>
        </w:rPr>
        <w:t xml:space="preserve">Cobertura de SIMVET.</w:t>
      </w:r>
      <w:r>
        <w:t xml:space="preserve"> Mide el sell-in (venta del laboratorio al canal) de los 31 laboratorios que reportan, no el consumo final (sell-out) ni a los laboratorios que no reportan. Como no se ven nombres ni marcas, no se puede comprobar cuánto del mercado total cubre.</w:t>
      </w:r>
    </w:p>
    <w:p>
      <w:pPr>
        <w:pStyle w:val="ListParagraph"/>
        <w:numPr>
          <w:ilvl w:val="0"/>
          <w:numId w:val="2"/>
        </w:numPr>
        <w:spacing w:after="60" w:line="264"/>
      </w:pPr>
      <w:r>
        <w:rPr>
          <w:b/>
          <w:bCs/>
        </w:rPr>
        <w:t xml:space="preserve">Cobertura por segmento.</w:t>
      </w:r>
      <w:r>
        <w:t xml:space="preserve"> Aves solo tiene vacunas y cerdos solo antimicrobianos y vacunas. El "mercado" de esas especies es el de esos segmentos, no el mercado farmacéutico completo. </w:t>
      </w:r>
      <w:r>
        <w:rPr>
          <w:highlight w:val="yellow"/>
          <w:highlightCs w:val="yellow"/>
        </w:rPr>
        <w:t xml:space="preserve">[Confirmar el criterio de cobertura de la base]</w:t>
      </w:r>
      <w:r>
        <w:t xml:space="preserve">.</w:t>
      </w:r>
    </w:p>
    <w:p>
      <w:pPr>
        <w:pStyle w:val="ListParagraph"/>
        <w:numPr>
          <w:ilvl w:val="0"/>
          <w:numId w:val="2"/>
        </w:numPr>
        <w:spacing w:after="60" w:line="264"/>
      </w:pPr>
      <w:r>
        <w:rPr>
          <w:b/>
          <w:bCs/>
        </w:rPr>
        <w:t xml:space="preserve">Mercado donde compite el Laboratorio.</w:t>
      </w:r>
      <w:r>
        <w:t xml:space="preserve"> Pesa entre 45% (bovinos) y 75% (animales de compañía) del mercado de cada especie, y no crece igual que el total. Por eso se modela como objetivo aparte.</w:t>
      </w:r>
    </w:p>
    <w:p>
      <w:pPr>
        <w:pStyle w:val="ListParagraph"/>
        <w:numPr>
          <w:ilvl w:val="0"/>
          <w:numId w:val="2"/>
        </w:numPr>
        <w:spacing w:after="60" w:line="264"/>
      </w:pPr>
      <w:r>
        <w:rPr>
          <w:b/>
          <w:bCs/>
        </w:rPr>
        <w:t xml:space="preserve">Agregado nacional.</w:t>
      </w:r>
      <w:r>
        <w:t xml:space="preserve"> Las series y los precios son promedios nacionales. No representan diferencias regionales, tamaño de productor ni canal.</w:t>
      </w:r>
    </w:p>
    <w:p>
      <w:pPr>
        <w:pStyle w:val="ListParagraph"/>
        <w:numPr>
          <w:ilvl w:val="0"/>
          <w:numId w:val="2"/>
        </w:numPr>
        <w:spacing w:after="60" w:line="264"/>
      </w:pPr>
      <w:r>
        <w:rPr>
          <w:b/>
          <w:bCs/>
        </w:rPr>
        <w:t xml:space="preserve">Efecto del ciclo 2020-2026.</w:t>
      </w:r>
      <w:r>
        <w:t xml:space="preserve"> El periodo incluye la recuperación posterior a la pandemia, una inflación de dos dígitos en 2022 y 2023 y shocks sanitarios o de precios. Esas condiciones pueden no repetirse en 2027.</w:t>
      </w:r>
    </w:p>
    <w:p>
      <w:pPr>
        <w:pStyle w:val="ListParagraph"/>
        <w:numPr>
          <w:ilvl w:val="0"/>
          <w:numId w:val="2"/>
        </w:numPr>
        <w:spacing w:after="60" w:line="264"/>
      </w:pPr>
      <w:r>
        <w:rPr>
          <w:b/>
          <w:bCs/>
        </w:rPr>
        <w:t xml:space="preserve">Crecimiento nominal.</w:t>
      </w:r>
      <w:r>
        <w:t xml:space="preserve"> Las ventas están en pesos corrientes. Parte del crecimiento es inflación; por decisión del equipo se modela el crecimiento nominal y se documenta esa dependencia. Los precios entran como cambio real (deflactados por el IPC).</w:t>
      </w:r>
    </w:p>
    <w:p>
      <w:pPr>
        <w:pStyle w:val="ListParagraph"/>
        <w:numPr>
          <w:ilvl w:val="0"/>
          <w:numId w:val="2"/>
        </w:numPr>
        <w:spacing w:after="60" w:line="264"/>
      </w:pPr>
      <w:r>
        <w:rPr>
          <w:b/>
          <w:bCs/>
        </w:rPr>
        <w:t xml:space="preserve">Posición del Laboratorio.</w:t>
      </w:r>
      <w:r>
        <w:t xml:space="preserve"> El Laboratorio lidera el mercado de cerdos (participación de 40% a 50%) y tiene una participación baja en bovinos (alrededor de 4%). El modelo del Laboratorio aprende más de las especies donde pesa más.</w:t>
      </w:r>
    </w:p>
    <w:p>
      <w:pPr>
        <w:pStyle w:val="ListParagraph"/>
        <w:numPr>
          <w:ilvl w:val="0"/>
          <w:numId w:val="2"/>
        </w:numPr>
        <w:spacing w:after="60" w:line="264"/>
      </w:pPr>
      <w:r>
        <w:rPr>
          <w:b/>
          <w:bCs/>
        </w:rPr>
        <w:t xml:space="preserve">Perros y gatos.</w:t>
      </w:r>
      <w:r>
        <w:t xml:space="preserve"> La serie de población viene de Minsalud (2019) proyectada con crecimientos de Euromonitor, es decir, es una estimación. Por decisión del equipo se excluyó del modelo; el efecto del ingreso de los hogares sobre animales de compañía se representa solo con la inflación.</w:t>
      </w:r>
    </w:p>
    <w:p>
      <w:pPr>
        <w:pStyle w:val="Heading1"/>
        <w:spacing w:after="200" w:before="480"/>
      </w:pPr>
      <w:r>
        <w:t xml:space="preserve">3. Preparación y diseño experimental</w:t>
      </w:r>
    </w:p>
    <w:p>
      <w:pPr>
        <w:pStyle w:val="Heading2"/>
      </w:pPr>
      <w:r>
        <w:t xml:space="preserve">3.1 Unidad de análisis y variables</w:t>
      </w:r>
    </w:p>
    <w:p>
      <w:pPr>
        <w:spacing w:after="120" w:line="276"/>
      </w:pPr>
      <w:r>
        <w:t xml:space="preserve">Cada observación es una especie en un mes t. Hay tres variables objetivo, todas definidas como el crecimiento nominal de la venta acumulada de los 12 meses que terminan en t frente a los 12 meses anteriores: el mercado de la especie, el mercado donde compite el Laboratorio y las ventas del Laboratorio. En t = diciembre de 2027 es el crecimiento anual de 2027, que es lo que se quiere proyectar. Hay 49 meses por especie en el mercado (196 filas) y 25 en el Laboratorio (100 filas).</w:t>
      </w:r>
    </w:p>
    <w:p>
      <w:pPr>
        <w:spacing w:after="120" w:line="276"/>
      </w:pPr>
      <w:r>
        <w:rPr>
          <w:b/>
          <w:bCs/>
        </w:rPr>
        <w:t xml:space="preserve">Predictores</w:t>
      </w:r>
      <w:r>
        <w:t xml:space="preserve"> (con información disponible hasta t): inflación de 12 meses (IPC); PIB, PIB agropecuario y aumento del salario mínimo (promedios de 12 meses); cambio </w:t>
      </w:r>
      <w:r>
        <w:rPr>
          <w:b/>
          <w:bCs/>
        </w:rPr>
        <w:t xml:space="preserve">real</w:t>
      </w:r>
      <w:r>
        <w:t xml:space="preserve"> del precio promedio de 12 meses de la leche, la carne de res, la carne de cerdo, el huevo y el pollo (cada uno solo para su especie, cero para las demás); un término propio de inflación para animales de compañía; y la especie en codificación one-hot. El modelo del Laboratorio agrega el crecimiento del mercado de la especie. El cambio real es el nominal descontada la inflación: (1 + nominal) / (1 + inflación) − 1.</w:t>
      </w:r>
    </w:p>
    <w:p>
      <w:pPr>
        <w:pStyle w:val="Heading2"/>
      </w:pPr>
      <w:r>
        <w:t xml:space="preserve">3.2 Sello de los datos y partición antes de cualquier transformación</w:t>
      </w:r>
    </w:p>
    <w:p>
      <w:pPr>
        <w:spacing w:after="120" w:line="276"/>
      </w:pPr>
      <w:r>
        <w:t xml:space="preserve">Antes de leer ninguna cifra se parte la base por fecha, con un script que solo copia texto: </w:t>
      </w:r>
      <w:r>
        <w:rPr>
          <w:b/>
          <w:bCs/>
        </w:rPr>
        <w:t xml:space="preserve">desarrollo</w:t>
      </w:r>
      <w:r>
        <w:t xml:space="preserve"> (hasta diciembre de 2025, 7.632 filas) y </w:t>
      </w:r>
      <w:r>
        <w:rPr>
          <w:b/>
          <w:bCs/>
        </w:rPr>
        <w:t xml:space="preserve">sellado</w:t>
      </w:r>
      <w:r>
        <w:t xml:space="preserve"> (enero a junio de 2026, 636 filas). La TRM se parte igual. Cada archivo queda registrado con su huella digital (SHA-256) y todo el desarrollo, desde las variables hasta la selección del modelo, solo lee el archivo de desarrollo. El archivo sellado solo lo abre el script del examen, que deja una línea en un registro de accesos.</w:t>
      </w:r>
    </w:p>
    <w:p>
      <w:pPr>
        <w:keepNext/>
        <w:spacing w:after="60" w:before="160"/>
      </w:pPr>
      <w:r>
        <w:rPr>
          <w:b/>
          <w:bCs/>
          <w:color w:val="13201C"/>
          <w:sz w:val="19"/>
          <w:szCs w:val="19"/>
        </w:rPr>
        <w:t xml:space="preserve">Tabla 3. Partición (por mes t de la ventana de 12 meses)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500"/>
        <w:gridCol w:w="2500"/>
        <w:gridCol w:w="1300"/>
        <w:gridCol w:w="1400"/>
        <w:gridCol w:w="2660"/>
      </w:tblGrid>
      <w:tr>
        <w:trPr>
          <w:cantSplit/>
          <w:tblHeader/>
        </w:trPr>
        <w:tc>
          <w:tcPr>
            <w:tcW w:type="dxa" w:w="1500"/>
            <w:shd w:fill="E4EEEB" w:color="auto" w:val="clear"/>
            <w:tcMar>
              <w:top w:type="dxa" w:w="50"/>
              <w:left w:type="dxa" w:w="90"/>
              <w:bottom w:type="dxa" w:w="50"/>
              <w:right w:type="dxa" w:w="90"/>
            </w:tcMar>
            <w:vAlign w:val="center"/>
          </w:tcPr>
          <w:p>
            <w:pPr>
              <w:spacing w:after="20"/>
              <w:jc w:val="left"/>
            </w:pPr>
            <w:r>
              <w:rPr>
                <w:b/>
                <w:bCs/>
                <w:sz w:val="18"/>
                <w:szCs w:val="18"/>
              </w:rPr>
              <w:t xml:space="preserve">Conjunto</w:t>
            </w:r>
          </w:p>
        </w:tc>
        <w:tc>
          <w:tcPr>
            <w:tcW w:type="dxa" w:w="2500"/>
            <w:shd w:fill="E4EEEB" w:color="auto" w:val="clear"/>
            <w:tcMar>
              <w:top w:type="dxa" w:w="50"/>
              <w:left w:type="dxa" w:w="90"/>
              <w:bottom w:type="dxa" w:w="50"/>
              <w:right w:type="dxa" w:w="90"/>
            </w:tcMar>
            <w:vAlign w:val="center"/>
          </w:tcPr>
          <w:p>
            <w:pPr>
              <w:spacing w:after="20"/>
              <w:jc w:val="left"/>
            </w:pPr>
            <w:r>
              <w:rPr>
                <w:b/>
                <w:bCs/>
                <w:sz w:val="18"/>
                <w:szCs w:val="18"/>
              </w:rPr>
              <w:t xml:space="preserve">Periodo (mes t)</w:t>
            </w:r>
          </w:p>
        </w:tc>
        <w:tc>
          <w:tcPr>
            <w:tcW w:type="dxa" w:w="1300"/>
            <w:shd w:fill="E4EEEB" w:color="auto" w:val="clear"/>
            <w:tcMar>
              <w:top w:type="dxa" w:w="50"/>
              <w:left w:type="dxa" w:w="90"/>
              <w:bottom w:type="dxa" w:w="50"/>
              <w:right w:type="dxa" w:w="90"/>
            </w:tcMar>
            <w:vAlign w:val="center"/>
          </w:tcPr>
          <w:p>
            <w:pPr>
              <w:spacing w:after="20"/>
              <w:jc w:val="left"/>
            </w:pPr>
            <w:r>
              <w:rPr>
                <w:b/>
                <w:bCs/>
                <w:sz w:val="18"/>
                <w:szCs w:val="18"/>
              </w:rPr>
              <w:t xml:space="preserve">Mercado (filas)</w:t>
            </w:r>
          </w:p>
        </w:tc>
        <w:tc>
          <w:tcPr>
            <w:tcW w:type="dxa" w:w="1400"/>
            <w:shd w:fill="E4EEEB" w:color="auto" w:val="clear"/>
            <w:tcMar>
              <w:top w:type="dxa" w:w="50"/>
              <w:left w:type="dxa" w:w="90"/>
              <w:bottom w:type="dxa" w:w="50"/>
              <w:right w:type="dxa" w:w="90"/>
            </w:tcMar>
            <w:vAlign w:val="center"/>
          </w:tcPr>
          <w:p>
            <w:pPr>
              <w:spacing w:after="20"/>
              <w:jc w:val="left"/>
            </w:pPr>
            <w:r>
              <w:rPr>
                <w:b/>
                <w:bCs/>
                <w:sz w:val="18"/>
                <w:szCs w:val="18"/>
              </w:rPr>
              <w:t xml:space="preserve">Laboratorio (filas)</w:t>
            </w:r>
          </w:p>
        </w:tc>
        <w:tc>
          <w:tcPr>
            <w:tcW w:type="dxa" w:w="2660"/>
            <w:shd w:fill="E4EEEB" w:color="auto" w:val="clear"/>
            <w:tcMar>
              <w:top w:type="dxa" w:w="50"/>
              <w:left w:type="dxa" w:w="90"/>
              <w:bottom w:type="dxa" w:w="50"/>
              <w:right w:type="dxa" w:w="90"/>
            </w:tcMar>
            <w:vAlign w:val="center"/>
          </w:tcPr>
          <w:p>
            <w:pPr>
              <w:spacing w:after="20"/>
              <w:jc w:val="left"/>
            </w:pPr>
            <w:r>
              <w:rPr>
                <w:b/>
                <w:bCs/>
                <w:sz w:val="18"/>
                <w:szCs w:val="18"/>
              </w:rPr>
              <w:t xml:space="preserve">Uso</w:t>
            </w:r>
          </w:p>
        </w:tc>
      </w:tr>
      <w:tr>
        <w:trPr>
          <w:cantSplit/>
        </w:trPr>
        <w:tc>
          <w:tcPr>
            <w:tcW w:type="dxa" w:w="1500"/>
            <w:tcMar>
              <w:top w:type="dxa" w:w="50"/>
              <w:left w:type="dxa" w:w="90"/>
              <w:bottom w:type="dxa" w:w="50"/>
              <w:right w:type="dxa" w:w="90"/>
            </w:tcMar>
            <w:vAlign w:val="center"/>
          </w:tcPr>
          <w:p>
            <w:pPr>
              <w:spacing w:after="20"/>
              <w:jc w:val="left"/>
            </w:pPr>
            <w:r>
              <w:rPr>
                <w:sz w:val="18"/>
                <w:szCs w:val="18"/>
              </w:rPr>
              <w:t xml:space="preserve">Entrenamiento</w:t>
            </w:r>
          </w:p>
        </w:tc>
        <w:tc>
          <w:tcPr>
            <w:tcW w:type="dxa" w:w="2500"/>
            <w:tcMar>
              <w:top w:type="dxa" w:w="50"/>
              <w:left w:type="dxa" w:w="90"/>
              <w:bottom w:type="dxa" w:w="50"/>
              <w:right w:type="dxa" w:w="90"/>
            </w:tcMar>
            <w:vAlign w:val="center"/>
          </w:tcPr>
          <w:p>
            <w:pPr>
              <w:spacing w:after="20"/>
              <w:jc w:val="left"/>
            </w:pPr>
            <w:r>
              <w:rPr>
                <w:sz w:val="18"/>
                <w:szCs w:val="18"/>
              </w:rPr>
              <w:t xml:space="preserve">Mercado: dic-2021 a dic-2025</w:t>
            </w:r>
          </w:p>
          <w:p>
            <w:pPr>
              <w:spacing w:after="20"/>
              <w:jc w:val="left"/>
            </w:pPr>
            <w:r>
              <w:rPr>
                <w:sz w:val="18"/>
                <w:szCs w:val="18"/>
              </w:rPr>
              <w:t xml:space="preserve">Laboratorio: dic-2023 a dic-2025</w:t>
            </w:r>
          </w:p>
        </w:tc>
        <w:tc>
          <w:tcPr>
            <w:tcW w:type="dxa" w:w="1300"/>
            <w:tcMar>
              <w:top w:type="dxa" w:w="50"/>
              <w:left w:type="dxa" w:w="90"/>
              <w:bottom w:type="dxa" w:w="50"/>
              <w:right w:type="dxa" w:w="90"/>
            </w:tcMar>
            <w:vAlign w:val="center"/>
          </w:tcPr>
          <w:p>
            <w:pPr>
              <w:spacing w:after="20"/>
              <w:jc w:val="left"/>
            </w:pPr>
            <w:r>
              <w:rPr>
                <w:sz w:val="18"/>
                <w:szCs w:val="18"/>
              </w:rPr>
              <w:t xml:space="preserve">196</w:t>
            </w:r>
          </w:p>
        </w:tc>
        <w:tc>
          <w:tcPr>
            <w:tcW w:type="dxa" w:w="1400"/>
            <w:tcMar>
              <w:top w:type="dxa" w:w="50"/>
              <w:left w:type="dxa" w:w="90"/>
              <w:bottom w:type="dxa" w:w="50"/>
              <w:right w:type="dxa" w:w="90"/>
            </w:tcMar>
            <w:vAlign w:val="center"/>
          </w:tcPr>
          <w:p>
            <w:pPr>
              <w:spacing w:after="20"/>
              <w:jc w:val="left"/>
            </w:pPr>
            <w:r>
              <w:rPr>
                <w:sz w:val="18"/>
                <w:szCs w:val="18"/>
              </w:rPr>
              <w:t xml:space="preserve">100</w:t>
            </w:r>
          </w:p>
        </w:tc>
        <w:tc>
          <w:tcPr>
            <w:tcW w:type="dxa" w:w="2660"/>
            <w:tcMar>
              <w:top w:type="dxa" w:w="50"/>
              <w:left w:type="dxa" w:w="90"/>
              <w:bottom w:type="dxa" w:w="50"/>
              <w:right w:type="dxa" w:w="90"/>
            </w:tcMar>
            <w:vAlign w:val="center"/>
          </w:tcPr>
          <w:p>
            <w:pPr>
              <w:spacing w:after="20"/>
              <w:jc w:val="left"/>
            </w:pPr>
            <w:r>
              <w:rPr>
                <w:sz w:val="18"/>
                <w:szCs w:val="18"/>
              </w:rPr>
              <w:t xml:space="preserve">Validación cruzada, ajuste de hiperparámetros y selección</w:t>
            </w:r>
          </w:p>
        </w:tc>
      </w:tr>
      <w:tr>
        <w:trPr>
          <w:cantSplit/>
        </w:trPr>
        <w:tc>
          <w:tcPr>
            <w:tcW w:type="dxa" w:w="1500"/>
            <w:tcMar>
              <w:top w:type="dxa" w:w="50"/>
              <w:left w:type="dxa" w:w="90"/>
              <w:bottom w:type="dxa" w:w="50"/>
              <w:right w:type="dxa" w:w="90"/>
            </w:tcMar>
            <w:vAlign w:val="center"/>
          </w:tcPr>
          <w:p>
            <w:pPr>
              <w:spacing w:after="20"/>
              <w:jc w:val="left"/>
            </w:pPr>
            <w:r>
              <w:rPr>
                <w:sz w:val="18"/>
                <w:szCs w:val="18"/>
              </w:rPr>
              <w:t xml:space="preserve">Examen</w:t>
            </w:r>
          </w:p>
        </w:tc>
        <w:tc>
          <w:tcPr>
            <w:tcW w:type="dxa" w:w="2500"/>
            <w:tcMar>
              <w:top w:type="dxa" w:w="50"/>
              <w:left w:type="dxa" w:w="90"/>
              <w:bottom w:type="dxa" w:w="50"/>
              <w:right w:type="dxa" w:w="90"/>
            </w:tcMar>
            <w:vAlign w:val="center"/>
          </w:tcPr>
          <w:p>
            <w:pPr>
              <w:spacing w:after="20"/>
              <w:jc w:val="left"/>
            </w:pPr>
            <w:r>
              <w:rPr>
                <w:sz w:val="18"/>
                <w:szCs w:val="18"/>
              </w:rPr>
              <w:t xml:space="preserve">ene-2026 a jun-2026</w:t>
            </w:r>
          </w:p>
        </w:tc>
        <w:tc>
          <w:tcPr>
            <w:tcW w:type="dxa" w:w="1300"/>
            <w:tcMar>
              <w:top w:type="dxa" w:w="50"/>
              <w:left w:type="dxa" w:w="90"/>
              <w:bottom w:type="dxa" w:w="50"/>
              <w:right w:type="dxa" w:w="90"/>
            </w:tcMar>
            <w:vAlign w:val="center"/>
          </w:tcPr>
          <w:p>
            <w:pPr>
              <w:spacing w:after="20"/>
              <w:jc w:val="left"/>
            </w:pPr>
            <w:r>
              <w:rPr>
                <w:sz w:val="18"/>
                <w:szCs w:val="18"/>
              </w:rPr>
              <w:t xml:space="preserve">24</w:t>
            </w:r>
          </w:p>
        </w:tc>
        <w:tc>
          <w:tcPr>
            <w:tcW w:type="dxa" w:w="1400"/>
            <w:tcMar>
              <w:top w:type="dxa" w:w="50"/>
              <w:left w:type="dxa" w:w="90"/>
              <w:bottom w:type="dxa" w:w="50"/>
              <w:right w:type="dxa" w:w="90"/>
            </w:tcMar>
            <w:vAlign w:val="center"/>
          </w:tcPr>
          <w:p>
            <w:pPr>
              <w:spacing w:after="20"/>
              <w:jc w:val="left"/>
            </w:pPr>
            <w:r>
              <w:rPr>
                <w:sz w:val="18"/>
                <w:szCs w:val="18"/>
              </w:rPr>
              <w:t xml:space="preserve">24</w:t>
            </w:r>
          </w:p>
        </w:tc>
        <w:tc>
          <w:tcPr>
            <w:tcW w:type="dxa" w:w="2660"/>
            <w:tcMar>
              <w:top w:type="dxa" w:w="50"/>
              <w:left w:type="dxa" w:w="90"/>
              <w:bottom w:type="dxa" w:w="50"/>
              <w:right w:type="dxa" w:w="90"/>
            </w:tcMar>
            <w:vAlign w:val="center"/>
          </w:tcPr>
          <w:p>
            <w:pPr>
              <w:spacing w:after="20"/>
              <w:jc w:val="left"/>
            </w:pPr>
            <w:r>
              <w:rPr>
                <w:sz w:val="18"/>
                <w:szCs w:val="18"/>
              </w:rPr>
              <w:t xml:space="preserve">Consulta principal y una consulta complementaria (Sección 3.6)</w:t>
            </w:r>
          </w:p>
        </w:tc>
      </w:tr>
    </w:tbl>
    <w:p>
      <w:pPr>
        <w:pStyle w:val="Heading2"/>
      </w:pPr>
      <w:r>
        <w:t xml:space="preserve">3.3 Flujo encapsulado en un Pipeline</w:t>
      </w:r>
    </w:p>
    <w:p>
      <w:pPr>
        <w:spacing w:after="120" w:line="276"/>
      </w:pPr>
      <w:r>
        <w:t xml:space="preserve">Toda transformación ajustada vive dentro de un Pipeline de scikit-learn, de modo que se ajusta solo con los datos de entrenamiento de cada pliegue: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800"/>
        <w:gridCol w:w="5000"/>
        <w:gridCol w:w="3560"/>
      </w:tblGrid>
      <w:tr>
        <w:trPr>
          <w:cantSplit/>
          <w:tblHeader/>
        </w:trPr>
        <w:tc>
          <w:tcPr>
            <w:tcW w:type="dxa" w:w="800"/>
            <w:shd w:fill="E4EEEB" w:color="auto" w:val="clear"/>
            <w:tcMar>
              <w:top w:type="dxa" w:w="50"/>
              <w:left w:type="dxa" w:w="90"/>
              <w:bottom w:type="dxa" w:w="50"/>
              <w:right w:type="dxa" w:w="90"/>
            </w:tcMar>
            <w:vAlign w:val="center"/>
          </w:tcPr>
          <w:p>
            <w:pPr>
              <w:spacing w:after="20"/>
              <w:jc w:val="left"/>
            </w:pPr>
            <w:r>
              <w:rPr>
                <w:b/>
                <w:bCs/>
                <w:sz w:val="18"/>
                <w:szCs w:val="18"/>
              </w:rPr>
              <w:t xml:space="preserve">Paso</w:t>
            </w:r>
          </w:p>
        </w:tc>
        <w:tc>
          <w:tcPr>
            <w:tcW w:type="dxa" w:w="5000"/>
            <w:shd w:fill="E4EEEB" w:color="auto" w:val="clear"/>
            <w:tcMar>
              <w:top w:type="dxa" w:w="50"/>
              <w:left w:type="dxa" w:w="90"/>
              <w:bottom w:type="dxa" w:w="50"/>
              <w:right w:type="dxa" w:w="90"/>
            </w:tcMar>
            <w:vAlign w:val="center"/>
          </w:tcPr>
          <w:p>
            <w:pPr>
              <w:spacing w:after="20"/>
              <w:jc w:val="left"/>
            </w:pPr>
            <w:r>
              <w:rPr>
                <w:b/>
                <w:bCs/>
                <w:sz w:val="18"/>
                <w:szCs w:val="18"/>
              </w:rPr>
              <w:t xml:space="preserve">Componente</w:t>
            </w:r>
          </w:p>
        </w:tc>
        <w:tc>
          <w:tcPr>
            <w:tcW w:type="dxa" w:w="3560"/>
            <w:shd w:fill="E4EEEB" w:color="auto" w:val="clear"/>
            <w:tcMar>
              <w:top w:type="dxa" w:w="50"/>
              <w:left w:type="dxa" w:w="90"/>
              <w:bottom w:type="dxa" w:w="50"/>
              <w:right w:type="dxa" w:w="90"/>
            </w:tcMar>
            <w:vAlign w:val="center"/>
          </w:tcPr>
          <w:p>
            <w:pPr>
              <w:spacing w:after="20"/>
              <w:jc w:val="left"/>
            </w:pPr>
            <w:r>
              <w:rPr>
                <w:b/>
                <w:bCs/>
                <w:sz w:val="18"/>
                <w:szCs w:val="18"/>
              </w:rPr>
              <w:t xml:space="preserve">Qué aprende y de dónde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1</w:t>
            </w:r>
          </w:p>
        </w:tc>
        <w:tc>
          <w:tcPr>
            <w:tcW w:type="dxa" w:w="5000"/>
            <w:tcMar>
              <w:top w:type="dxa" w:w="50"/>
              <w:left w:type="dxa" w:w="90"/>
              <w:bottom w:type="dxa" w:w="50"/>
              <w:right w:type="dxa" w:w="90"/>
            </w:tcMar>
            <w:vAlign w:val="center"/>
          </w:tcPr>
          <w:p>
            <w:pPr>
              <w:spacing w:after="20"/>
              <w:jc w:val="left"/>
            </w:pPr>
            <w:r>
              <w:rPr>
                <w:sz w:val="18"/>
                <w:szCs w:val="18"/>
              </w:rPr>
              <w:t xml:space="preserve">ColumnTransformer: StandardScaler en las variables continuas; la especie (one-hot) pasa sin escalar</w:t>
            </w:r>
          </w:p>
        </w:tc>
        <w:tc>
          <w:tcPr>
            <w:tcW w:type="dxa" w:w="3560"/>
            <w:tcMar>
              <w:top w:type="dxa" w:w="50"/>
              <w:left w:type="dxa" w:w="90"/>
              <w:bottom w:type="dxa" w:w="50"/>
              <w:right w:type="dxa" w:w="90"/>
            </w:tcMar>
            <w:vAlign w:val="center"/>
          </w:tcPr>
          <w:p>
            <w:pPr>
              <w:spacing w:after="20"/>
              <w:jc w:val="left"/>
            </w:pPr>
            <w:r>
              <w:rPr>
                <w:sz w:val="18"/>
                <w:szCs w:val="18"/>
              </w:rPr>
              <w:t xml:space="preserve">Media y desviación de las filas de entrenamiento del pliegue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2</w:t>
            </w:r>
          </w:p>
        </w:tc>
        <w:tc>
          <w:tcPr>
            <w:tcW w:type="dxa" w:w="5000"/>
            <w:tcMar>
              <w:top w:type="dxa" w:w="50"/>
              <w:left w:type="dxa" w:w="90"/>
              <w:bottom w:type="dxa" w:w="50"/>
              <w:right w:type="dxa" w:w="90"/>
            </w:tcMar>
            <w:vAlign w:val="center"/>
          </w:tcPr>
          <w:p>
            <w:pPr>
              <w:spacing w:after="20"/>
              <w:jc w:val="left"/>
            </w:pPr>
            <w:r>
              <w:rPr>
                <w:sz w:val="18"/>
                <w:szCs w:val="18"/>
              </w:rPr>
              <w:t xml:space="preserve">Ponderación por clase de escenario (opcional)</w:t>
            </w:r>
          </w:p>
        </w:tc>
        <w:tc>
          <w:tcPr>
            <w:tcW w:type="dxa" w:w="3560"/>
            <w:tcMar>
              <w:top w:type="dxa" w:w="50"/>
              <w:left w:type="dxa" w:w="90"/>
              <w:bottom w:type="dxa" w:w="50"/>
              <w:right w:type="dxa" w:w="90"/>
            </w:tcMar>
            <w:vAlign w:val="center"/>
          </w:tcPr>
          <w:p>
            <w:pPr>
              <w:spacing w:after="20"/>
              <w:jc w:val="left"/>
            </w:pPr>
            <w:r>
              <w:rPr>
                <w:sz w:val="18"/>
                <w:szCs w:val="18"/>
              </w:rPr>
              <w:t xml:space="preserve">Frecuencias de clase de las filas de entrenamiento del pliegue</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3</w:t>
            </w:r>
          </w:p>
        </w:tc>
        <w:tc>
          <w:tcPr>
            <w:tcW w:type="dxa" w:w="5000"/>
            <w:tcMar>
              <w:top w:type="dxa" w:w="50"/>
              <w:left w:type="dxa" w:w="90"/>
              <w:bottom w:type="dxa" w:w="50"/>
              <w:right w:type="dxa" w:w="90"/>
            </w:tcMar>
            <w:vAlign w:val="center"/>
          </w:tcPr>
          <w:p>
            <w:pPr>
              <w:spacing w:after="20"/>
              <w:jc w:val="left"/>
            </w:pPr>
            <w:r>
              <w:rPr>
                <w:sz w:val="18"/>
                <w:szCs w:val="18"/>
              </w:rPr>
              <w:t xml:space="preserve">Modelo (diez candidatos; Sección 4)</w:t>
            </w:r>
          </w:p>
        </w:tc>
        <w:tc>
          <w:tcPr>
            <w:tcW w:type="dxa" w:w="3560"/>
            <w:tcMar>
              <w:top w:type="dxa" w:w="50"/>
              <w:left w:type="dxa" w:w="90"/>
              <w:bottom w:type="dxa" w:w="50"/>
              <w:right w:type="dxa" w:w="90"/>
            </w:tcMar>
            <w:vAlign w:val="center"/>
          </w:tcPr>
          <w:p>
            <w:pPr>
              <w:spacing w:after="20"/>
              <w:jc w:val="left"/>
            </w:pPr>
            <w:r>
              <w:rPr>
                <w:sz w:val="18"/>
                <w:szCs w:val="18"/>
              </w:rPr>
              <w:t xml:space="preserve">Coeficientes, vecinos o árboles con las filas de entrenamiento del pliegue</w:t>
            </w:r>
          </w:p>
        </w:tc>
      </w:tr>
    </w:tbl>
    <w:p>
      <w:pPr>
        <w:pStyle w:val="Heading2"/>
      </w:pPr>
      <w:r>
        <w:t xml:space="preserve">3.4 Validación cruzada con purga</w:t>
      </w:r>
    </w:p>
    <w:p>
      <w:pPr>
        <w:spacing w:after="120" w:line="276"/>
      </w:pPr>
      <w:r>
        <w:t xml:space="preserve">La validación cruzada divide el entrenamiento en bloques consecutivos de 6 meses (9 pliegues en el mercado y 5 en el Laboratorio). Como las ventanas de 12 meses de meses vecinos comparten hasta 11 meses de datos, se elimina del entrenamiento un </w:t>
      </w:r>
      <w:r>
        <w:rPr>
          <w:b/>
          <w:bCs/>
        </w:rPr>
        <w:t xml:space="preserve">embargo</w:t>
      </w:r>
      <w:r>
        <w:t xml:space="preserve"> de 6 meses a cada lado del bloque evaluado (3 en el Laboratorio, cuya historia es más corta). Los pliegues son los mismos para todos los modelos.</w:t>
      </w:r>
    </w:p>
    <w:p>
      <w:pPr>
        <w:keepNext/>
        <w:spacing w:after="40" w:before="80"/>
        <w:jc w:val="center"/>
      </w:pPr>
      <w:r>
        <w:drawing>
          <wp:inline distT="0" distB="0" distL="0" distR="0">
            <wp:extent cx="4191000" cy="2000250"/>
            <wp:effectExtent t="0" r="0" b="0" l="0"/>
            <wp:docPr id="1" name="f6_embargo.png" descr="f6_embargo.png" title="f6_embar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00250"/>
                    </a:xfrm>
                    <a:prstGeom prst="rect">
                      <a:avLst/>
                    </a:prstGeom>
                  </pic:spPr>
                </pic:pic>
              </a:graphicData>
            </a:graphic>
          </wp:inline>
        </w:drawing>
      </w:r>
    </w:p>
    <w:p>
      <w:pPr>
        <w:spacing w:after="200" w:before="60"/>
      </w:pPr>
      <w:r>
        <w:rPr>
          <w:i/>
          <w:iCs/>
          <w:color w:val="5E6E69"/>
          <w:sz w:val="18"/>
          <w:szCs w:val="18"/>
        </w:rPr>
        <w:t xml:space="preserve">Figura 2. Error fuera de pliegue del modelo elegido del mercado según el embargo. Sin purga el error parece 0,0 pp menor que con 11 meses de purga: ese es el optimismo que se evita.</w:t>
      </w:r>
    </w:p>
    <w:p>
      <w:pPr>
        <w:spacing w:after="120" w:line="276"/>
      </w:pPr>
      <w:r>
        <w:t xml:space="preserve">Como contraste se corrió una validación estratificada por clase con grupos por año en el mercado (4,5 pp, sin purga). En el Laboratorio no es viable: solo hay tres años como grupos. La estratificación no es el diseño principal porque mezclar años distintos en entrenamiento y evaluación repite el problema de solapamiento.</w:t>
      </w:r>
    </w:p>
    <w:p>
      <w:pPr>
        <w:pStyle w:val="Heading2"/>
      </w:pPr>
      <w:r>
        <w:t xml:space="preserve">3.5 Desbalance de clases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000"/>
        <w:gridCol w:w="3180"/>
        <w:gridCol w:w="3180"/>
      </w:tblGrid>
      <w:tr>
        <w:trPr>
          <w:cantSplit/>
          <w:tblHeader/>
        </w:trPr>
        <w:tc>
          <w:tcPr>
            <w:tcW w:type="dxa" w:w="3000"/>
            <w:shd w:fill="E4EEEB" w:color="auto" w:val="clear"/>
            <w:tcMar>
              <w:top w:type="dxa" w:w="50"/>
              <w:left w:type="dxa" w:w="90"/>
              <w:bottom w:type="dxa" w:w="50"/>
              <w:right w:type="dxa" w:w="90"/>
            </w:tcMar>
            <w:vAlign w:val="center"/>
          </w:tcPr>
          <w:p>
            <w:pPr>
              <w:spacing w:after="20"/>
              <w:jc w:val="left"/>
            </w:pPr>
            <w:r>
              <w:rPr>
                <w:b/>
                <w:bCs/>
                <w:sz w:val="18"/>
                <w:szCs w:val="18"/>
              </w:rPr>
              <w:t xml:space="preserve">Escenario</w:t>
            </w:r>
          </w:p>
        </w:tc>
        <w:tc>
          <w:tcPr>
            <w:tcW w:type="dxa" w:w="3180"/>
            <w:shd w:fill="E4EEEB" w:color="auto" w:val="clear"/>
            <w:tcMar>
              <w:top w:type="dxa" w:w="50"/>
              <w:left w:type="dxa" w:w="90"/>
              <w:bottom w:type="dxa" w:w="50"/>
              <w:right w:type="dxa" w:w="90"/>
            </w:tcMar>
            <w:vAlign w:val="center"/>
          </w:tcPr>
          <w:p>
            <w:pPr>
              <w:spacing w:after="20"/>
              <w:jc w:val="left"/>
            </w:pPr>
            <w:r>
              <w:rPr>
                <w:b/>
                <w:bCs/>
                <w:sz w:val="18"/>
                <w:szCs w:val="18"/>
              </w:rPr>
              <w:t xml:space="preserve">Mercado (n=196)</w:t>
            </w:r>
          </w:p>
        </w:tc>
        <w:tc>
          <w:tcPr>
            <w:tcW w:type="dxa" w:w="3180"/>
            <w:shd w:fill="E4EEEB" w:color="auto" w:val="clear"/>
            <w:tcMar>
              <w:top w:type="dxa" w:w="50"/>
              <w:left w:type="dxa" w:w="90"/>
              <w:bottom w:type="dxa" w:w="50"/>
              <w:right w:type="dxa" w:w="90"/>
            </w:tcMar>
            <w:vAlign w:val="center"/>
          </w:tcPr>
          <w:p>
            <w:pPr>
              <w:spacing w:after="20"/>
              <w:jc w:val="left"/>
            </w:pPr>
            <w:r>
              <w:rPr>
                <w:b/>
                <w:bCs/>
                <w:sz w:val="18"/>
                <w:szCs w:val="18"/>
              </w:rPr>
              <w:t xml:space="preserve">Laboratorio (n=100)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regular</w:t>
            </w:r>
          </w:p>
        </w:tc>
        <w:tc>
          <w:tcPr>
            <w:tcW w:type="dxa" w:w="3180"/>
            <w:tcMar>
              <w:top w:type="dxa" w:w="50"/>
              <w:left w:type="dxa" w:w="90"/>
              <w:bottom w:type="dxa" w:w="50"/>
              <w:right w:type="dxa" w:w="90"/>
            </w:tcMar>
            <w:vAlign w:val="center"/>
          </w:tcPr>
          <w:p>
            <w:pPr>
              <w:spacing w:after="20"/>
              <w:jc w:val="left"/>
            </w:pPr>
            <w:r>
              <w:rPr>
                <w:sz w:val="18"/>
                <w:szCs w:val="18"/>
              </w:rPr>
              <w:t xml:space="preserve">9 (4,6%)</w:t>
            </w:r>
          </w:p>
        </w:tc>
        <w:tc>
          <w:tcPr>
            <w:tcW w:type="dxa" w:w="3180"/>
            <w:tcMar>
              <w:top w:type="dxa" w:w="50"/>
              <w:left w:type="dxa" w:w="90"/>
              <w:bottom w:type="dxa" w:w="50"/>
              <w:right w:type="dxa" w:w="90"/>
            </w:tcMar>
            <w:vAlign w:val="center"/>
          </w:tcPr>
          <w:p>
            <w:pPr>
              <w:spacing w:after="20"/>
              <w:jc w:val="left"/>
            </w:pPr>
            <w:r>
              <w:rPr>
                <w:sz w:val="18"/>
                <w:szCs w:val="18"/>
              </w:rPr>
              <w:t xml:space="preserve">32 (32,0%)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estable</w:t>
            </w:r>
          </w:p>
        </w:tc>
        <w:tc>
          <w:tcPr>
            <w:tcW w:type="dxa" w:w="3180"/>
            <w:tcMar>
              <w:top w:type="dxa" w:w="50"/>
              <w:left w:type="dxa" w:w="90"/>
              <w:bottom w:type="dxa" w:w="50"/>
              <w:right w:type="dxa" w:w="90"/>
            </w:tcMar>
            <w:vAlign w:val="center"/>
          </w:tcPr>
          <w:p>
            <w:pPr>
              <w:spacing w:after="20"/>
              <w:jc w:val="left"/>
            </w:pPr>
            <w:r>
              <w:rPr>
                <w:sz w:val="18"/>
                <w:szCs w:val="18"/>
              </w:rPr>
              <w:t xml:space="preserve">95 (48,5%)</w:t>
            </w:r>
          </w:p>
        </w:tc>
        <w:tc>
          <w:tcPr>
            <w:tcW w:type="dxa" w:w="3180"/>
            <w:tcMar>
              <w:top w:type="dxa" w:w="50"/>
              <w:left w:type="dxa" w:w="90"/>
              <w:bottom w:type="dxa" w:w="50"/>
              <w:right w:type="dxa" w:w="90"/>
            </w:tcMar>
            <w:vAlign w:val="center"/>
          </w:tcPr>
          <w:p>
            <w:pPr>
              <w:spacing w:after="20"/>
              <w:jc w:val="left"/>
            </w:pPr>
            <w:r>
              <w:rPr>
                <w:sz w:val="18"/>
                <w:szCs w:val="18"/>
              </w:rPr>
              <w:t xml:space="preserve">18 (18,0%)</w:t>
            </w:r>
          </w:p>
        </w:tc>
      </w:tr>
      <w:tr>
        <w:trPr>
          <w:cantSplit/>
        </w:trPr>
        <w:tc>
          <w:tcPr>
            <w:tcW w:type="dxa" w:w="3000"/>
            <w:tcMar>
              <w:top w:type="dxa" w:w="50"/>
              <w:left w:type="dxa" w:w="90"/>
              <w:bottom w:type="dxa" w:w="50"/>
              <w:right w:type="dxa" w:w="90"/>
            </w:tcMar>
            <w:vAlign w:val="center"/>
          </w:tcPr>
          <w:p>
            <w:pPr>
              <w:spacing w:after="20"/>
              <w:jc w:val="left"/>
            </w:pPr>
            <w:r>
              <w:rPr>
                <w:sz w:val="18"/>
                <w:szCs w:val="18"/>
              </w:rPr>
              <w:t xml:space="preserve">optimista</w:t>
            </w:r>
          </w:p>
        </w:tc>
        <w:tc>
          <w:tcPr>
            <w:tcW w:type="dxa" w:w="3180"/>
            <w:tcMar>
              <w:top w:type="dxa" w:w="50"/>
              <w:left w:type="dxa" w:w="90"/>
              <w:bottom w:type="dxa" w:w="50"/>
              <w:right w:type="dxa" w:w="90"/>
            </w:tcMar>
            <w:vAlign w:val="center"/>
          </w:tcPr>
          <w:p>
            <w:pPr>
              <w:spacing w:after="20"/>
              <w:jc w:val="left"/>
            </w:pPr>
            <w:r>
              <w:rPr>
                <w:sz w:val="18"/>
                <w:szCs w:val="18"/>
              </w:rPr>
              <w:t xml:space="preserve">92 (46,9%)</w:t>
            </w:r>
          </w:p>
        </w:tc>
        <w:tc>
          <w:tcPr>
            <w:tcW w:type="dxa" w:w="3180"/>
            <w:tcMar>
              <w:top w:type="dxa" w:w="50"/>
              <w:left w:type="dxa" w:w="90"/>
              <w:bottom w:type="dxa" w:w="50"/>
              <w:right w:type="dxa" w:w="90"/>
            </w:tcMar>
            <w:vAlign w:val="center"/>
          </w:tcPr>
          <w:p>
            <w:pPr>
              <w:spacing w:after="20"/>
              <w:jc w:val="left"/>
            </w:pPr>
            <w:r>
              <w:rPr>
                <w:sz w:val="18"/>
                <w:szCs w:val="18"/>
              </w:rPr>
              <w:t xml:space="preserve">50 (50,0%)</w:t>
            </w:r>
          </w:p>
        </w:tc>
      </w:tr>
    </w:tbl>
    <w:p>
      <w:pPr>
        <w:spacing w:after="100"/>
      </w:pPr>
    </w:p>
    <w:p>
      <w:pPr>
        <w:spacing w:after="120" w:line="276"/>
      </w:pPr>
      <w:r>
        <w:rPr>
          <w:b/>
          <w:bCs/>
        </w:rPr>
        <w:t xml:space="preserve">Tratamiento:</w:t>
      </w:r>
      <w:r>
        <w:t xml:space="preserve"> solo en entrenamiento. Se probó ponderar cada muestra por la frecuencia inversa de su clase, calculada dentro de cada pliegue de entrenamiento (no se rellena ni se remuestrea el conjunto de evaluación), tratada como un hiperparámetro más. Con el mejor modelo del mercado, la ponderación cambia el MAE de 4,6 a 4,7 pp y la detección de "regular" sigue en 0%: no resuelve el problema. No se usó remuestreo sintético (SMOTE): con 9 observaciones "regular" y filas solapadas en el tiempo, generaría observaciones casi idénticas y una falsa sensación de aprendizaje.</w:t>
      </w:r>
    </w:p>
    <w:p>
      <w:pPr>
        <w:pStyle w:val="Heading2"/>
      </w:pPr>
      <w:r>
        <w:t xml:space="preserve">3.6 Examen: consulta principal y consulta complementaria</w:t>
      </w:r>
    </w:p>
    <w:p>
      <w:pPr>
        <w:spacing w:after="120" w:line="276"/>
      </w:pPr>
      <w:r>
        <w:t xml:space="preserve">El examen (enero a junio de 2026) se consultó </w:t>
      </w:r>
      <w:r>
        <w:rPr>
          <w:b/>
          <w:bCs/>
        </w:rPr>
        <w:t xml:space="preserve">primero una vez</w:t>
      </w:r>
      <w:r>
        <w:t xml:space="preserve"> (2026-10-21 06:41:48), después de registrar en el repositorio la selección de modelos y de verificar el sello. En esa consulta se midieron el modelo elegido por la regla, el de menor error de validación (declarado de antemano como referencia informativa) y los dos métodos sencillos.</w:t>
      </w:r>
    </w:p>
    <w:p>
      <w:pPr>
        <w:spacing w:after="120" w:line="276"/>
      </w:pPr>
      <w:r>
        <w:t xml:space="preserve">Después se hizo una </w:t>
      </w:r>
      <w:r>
        <w:rPr>
          <w:b/>
          <w:bCs/>
        </w:rPr>
        <w:t xml:space="preserve">consulta complementaria</w:t>
      </w:r>
      <w:r>
        <w:t xml:space="preserve"> (2026-10-21 07:43:44) para medir K vecinos, Random Forest y la regresión lineal, a pedido del equipo, que quería completar la comparación de modelos. Es una segunda consulta: no se usó para seleccionar nada, pero con cinco modelos mirados sobre el mismo examen, sus resultados son más optimistas que los de un examen sin tocar. Ambas consultas quedan en el registro de accesos (9 líneas, que incluyen las lecturas posteriores para el reajuste, la proyección y el simulador).</w:t>
      </w:r>
    </w:p>
    <w:p>
      <w:pPr>
        <w:pBdr>
          <w:left w:val="single" w:color="0B5D4F" w:sz="24" w:space="8"/>
        </w:pBdr>
        <w:shd w:fill="FFF6E0" w:color="auto" w:val="clear"/>
        <w:spacing w:after="160" w:before="80" w:line="276"/>
        <w:ind w:left="160" w:right="80"/>
      </w:pPr>
      <w:r>
        <w:rPr>
          <w:b/>
          <w:bCs/>
        </w:rPr>
        <w:t xml:space="preserve">Limitación que debe conocerse.</w:t>
      </w:r>
      <w:r>
        <w:t xml:space="preserve"> En una fase exploratoria previa a este protocolo se compararon modelos y se vieron resultados de 2026; la elección de variables y de la línea base se hizo con ese conocimiento. El sello garantiza que el </w:t>
      </w:r>
      <w:r>
        <w:rPr>
          <w:b/>
          <w:bCs/>
        </w:rPr>
        <w:t xml:space="preserve">código</w:t>
      </w:r>
      <w:r>
        <w:t xml:space="preserve"> de desarrollo no tocó el examen, pero no borra lo que el equipo ya sabía. La prueba realmente nueva serán los datos de julio a diciembre de 2026.</w:t>
      </w:r>
    </w:p>
    <w:p>
      <w:pPr>
        <w:pStyle w:val="Heading2"/>
      </w:pPr>
      <w:r>
        <w:t xml:space="preserve">3.7 Resumen: cómo se evitaron la fuga, el desbalance y el uso indebido del examen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1800"/>
        <w:gridCol w:w="4200"/>
        <w:gridCol w:w="3360"/>
      </w:tblGrid>
      <w:tr>
        <w:trPr>
          <w:cantSplit/>
          <w:tblHeader/>
        </w:trPr>
        <w:tc>
          <w:tcPr>
            <w:tcW w:type="dxa" w:w="1800"/>
            <w:shd w:fill="E4EEEB" w:color="auto" w:val="clear"/>
            <w:tcMar>
              <w:top w:type="dxa" w:w="50"/>
              <w:left w:type="dxa" w:w="90"/>
              <w:bottom w:type="dxa" w:w="50"/>
              <w:right w:type="dxa" w:w="90"/>
            </w:tcMar>
            <w:vAlign w:val="center"/>
          </w:tcPr>
          <w:p>
            <w:pPr>
              <w:spacing w:after="20"/>
              <w:jc w:val="left"/>
            </w:pPr>
            <w:r>
              <w:rPr>
                <w:b/>
                <w:bCs/>
                <w:sz w:val="18"/>
                <w:szCs w:val="18"/>
              </w:rPr>
              <w:t xml:space="preserve">Riesgo</w:t>
            </w:r>
          </w:p>
        </w:tc>
        <w:tc>
          <w:tcPr>
            <w:tcW w:type="dxa" w:w="4200"/>
            <w:shd w:fill="E4EEEB" w:color="auto" w:val="clear"/>
            <w:tcMar>
              <w:top w:type="dxa" w:w="50"/>
              <w:left w:type="dxa" w:w="90"/>
              <w:bottom w:type="dxa" w:w="50"/>
              <w:right w:type="dxa" w:w="90"/>
            </w:tcMar>
            <w:vAlign w:val="center"/>
          </w:tcPr>
          <w:p>
            <w:pPr>
              <w:spacing w:after="20"/>
              <w:jc w:val="left"/>
            </w:pPr>
            <w:r>
              <w:rPr>
                <w:b/>
                <w:bCs/>
                <w:sz w:val="18"/>
                <w:szCs w:val="18"/>
              </w:rPr>
              <w:t xml:space="preserve">Qué se hizo</w:t>
            </w:r>
          </w:p>
        </w:tc>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Justificación</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por escalamiento</w:t>
            </w:r>
          </w:p>
        </w:tc>
        <w:tc>
          <w:tcPr>
            <w:tcW w:type="dxa" w:w="4200"/>
            <w:tcMar>
              <w:top w:type="dxa" w:w="50"/>
              <w:left w:type="dxa" w:w="90"/>
              <w:bottom w:type="dxa" w:w="50"/>
              <w:right w:type="dxa" w:w="90"/>
            </w:tcMar>
            <w:vAlign w:val="center"/>
          </w:tcPr>
          <w:p>
            <w:pPr>
              <w:spacing w:after="20"/>
              <w:jc w:val="left"/>
            </w:pPr>
            <w:r>
              <w:rPr>
                <w:sz w:val="18"/>
                <w:szCs w:val="18"/>
              </w:rPr>
              <w:t xml:space="preserve">El StandardScaler está dentro del Pipeline y se ajusta en cada pliegue con su entrenamiento.</w:t>
            </w:r>
          </w:p>
        </w:tc>
        <w:tc>
          <w:tcPr>
            <w:tcW w:type="dxa" w:w="3360"/>
            <w:tcMar>
              <w:top w:type="dxa" w:w="50"/>
              <w:left w:type="dxa" w:w="90"/>
              <w:bottom w:type="dxa" w:w="50"/>
              <w:right w:type="dxa" w:w="90"/>
            </w:tcMar>
            <w:vAlign w:val="center"/>
          </w:tcPr>
          <w:p>
            <w:pPr>
              <w:spacing w:after="20"/>
              <w:jc w:val="left"/>
            </w:pPr>
            <w:r>
              <w:rPr>
                <w:sz w:val="18"/>
                <w:szCs w:val="18"/>
              </w:rPr>
              <w:t xml:space="preserve">Media y desviación calculadas con datos de evaluación filtrarían su información al modelo.</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temporal</w:t>
            </w:r>
          </w:p>
        </w:tc>
        <w:tc>
          <w:tcPr>
            <w:tcW w:type="dxa" w:w="4200"/>
            <w:tcMar>
              <w:top w:type="dxa" w:w="50"/>
              <w:left w:type="dxa" w:w="90"/>
              <w:bottom w:type="dxa" w:w="50"/>
              <w:right w:type="dxa" w:w="90"/>
            </w:tcMar>
            <w:vAlign w:val="center"/>
          </w:tcPr>
          <w:p>
            <w:pPr>
              <w:spacing w:after="20"/>
              <w:jc w:val="left"/>
            </w:pPr>
            <w:r>
              <w:rPr>
                <w:sz w:val="18"/>
                <w:szCs w:val="18"/>
              </w:rPr>
              <w:t xml:space="preserve">Partición cronológica; variables solo con información hasta t; bloques con embargo de 6 y 3 meses.</w:t>
            </w:r>
          </w:p>
        </w:tc>
        <w:tc>
          <w:tcPr>
            <w:tcW w:type="dxa" w:w="3360"/>
            <w:tcMar>
              <w:top w:type="dxa" w:w="50"/>
              <w:left w:type="dxa" w:w="90"/>
              <w:bottom w:type="dxa" w:w="50"/>
              <w:right w:type="dxa" w:w="90"/>
            </w:tcMar>
            <w:vAlign w:val="center"/>
          </w:tcPr>
          <w:p>
            <w:pPr>
              <w:spacing w:after="20"/>
              <w:jc w:val="left"/>
            </w:pPr>
            <w:r>
              <w:rPr>
                <w:sz w:val="18"/>
                <w:szCs w:val="18"/>
              </w:rPr>
              <w:t xml:space="preserve">Las ventanas de 12 meses se solapan; sin purga el error se subestima hasta 0,0 pp (Figura 2).</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por lectura de los datos</w:t>
            </w:r>
          </w:p>
        </w:tc>
        <w:tc>
          <w:tcPr>
            <w:tcW w:type="dxa" w:w="4200"/>
            <w:tcMar>
              <w:top w:type="dxa" w:w="50"/>
              <w:left w:type="dxa" w:w="90"/>
              <w:bottom w:type="dxa" w:w="50"/>
              <w:right w:type="dxa" w:w="90"/>
            </w:tcMar>
            <w:vAlign w:val="center"/>
          </w:tcPr>
          <w:p>
            <w:pPr>
              <w:spacing w:after="20"/>
              <w:jc w:val="left"/>
            </w:pPr>
            <w:r>
              <w:rPr>
                <w:sz w:val="18"/>
                <w:szCs w:val="18"/>
              </w:rPr>
              <w:t xml:space="preserve">Los datos de 2026 se separan antes de cualquier cálculo. Verificación con un "canario": se reemplazan todas las cifras de 2026 por 999999999 y se repite todo el desarrollo; los 48 archivos de resultados salen idénticos byte a byte.</w:t>
            </w:r>
          </w:p>
        </w:tc>
        <w:tc>
          <w:tcPr>
            <w:tcW w:type="dxa" w:w="3360"/>
            <w:tcMar>
              <w:top w:type="dxa" w:w="50"/>
              <w:left w:type="dxa" w:w="90"/>
              <w:bottom w:type="dxa" w:w="50"/>
              <w:right w:type="dxa" w:w="90"/>
            </w:tcMar>
            <w:vAlign w:val="center"/>
          </w:tcPr>
          <w:p>
            <w:pPr>
              <w:spacing w:after="20"/>
              <w:jc w:val="left"/>
            </w:pPr>
            <w:r>
              <w:rPr>
                <w:sz w:val="18"/>
                <w:szCs w:val="18"/>
              </w:rPr>
              <w:t xml:space="preserve">Prueba que el desarrollo no depende de las cifras del examen.</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Fuga por variables</w:t>
            </w:r>
          </w:p>
        </w:tc>
        <w:tc>
          <w:tcPr>
            <w:tcW w:type="dxa" w:w="4200"/>
            <w:tcMar>
              <w:top w:type="dxa" w:w="50"/>
              <w:left w:type="dxa" w:w="90"/>
              <w:bottom w:type="dxa" w:w="50"/>
              <w:right w:type="dxa" w:w="90"/>
            </w:tcMar>
            <w:vAlign w:val="center"/>
          </w:tcPr>
          <w:p>
            <w:pPr>
              <w:spacing w:after="20"/>
              <w:jc w:val="left"/>
            </w:pPr>
            <w:r>
              <w:rPr>
                <w:sz w:val="18"/>
                <w:szCs w:val="18"/>
              </w:rPr>
              <w:t xml:space="preserve">No se usan crecimientos con datos futuros. En el Laboratorio, el crecimiento del mercado entra observado en el entrenamiento y proyectado por el modelo de mercado en el examen.</w:t>
            </w:r>
          </w:p>
        </w:tc>
        <w:tc>
          <w:tcPr>
            <w:tcW w:type="dxa" w:w="3360"/>
            <w:tcMar>
              <w:top w:type="dxa" w:w="50"/>
              <w:left w:type="dxa" w:w="90"/>
              <w:bottom w:type="dxa" w:w="50"/>
              <w:right w:type="dxa" w:w="90"/>
            </w:tcMar>
            <w:vAlign w:val="center"/>
          </w:tcPr>
          <w:p>
            <w:pPr>
              <w:spacing w:after="20"/>
              <w:jc w:val="left"/>
            </w:pPr>
            <w:r>
              <w:rPr>
                <w:sz w:val="18"/>
                <w:szCs w:val="18"/>
              </w:rPr>
              <w:t xml:space="preserve">En 2027 solo habrá proyección del mercado.</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Desbalance</w:t>
            </w:r>
          </w:p>
        </w:tc>
        <w:tc>
          <w:tcPr>
            <w:tcW w:type="dxa" w:w="4200"/>
            <w:tcMar>
              <w:top w:type="dxa" w:w="50"/>
              <w:left w:type="dxa" w:w="90"/>
              <w:bottom w:type="dxa" w:w="50"/>
              <w:right w:type="dxa" w:w="90"/>
            </w:tcMar>
            <w:vAlign w:val="center"/>
          </w:tcPr>
          <w:p>
            <w:pPr>
              <w:spacing w:after="20"/>
              <w:jc w:val="left"/>
            </w:pPr>
            <w:r>
              <w:rPr>
                <w:sz w:val="18"/>
                <w:szCs w:val="18"/>
              </w:rPr>
              <w:t xml:space="preserve">Ponderación por clase solo dentro del entrenamiento de cada pliegue, tratada como hiperparámetro; sin remuestreo sintético.</w:t>
            </w:r>
          </w:p>
        </w:tc>
        <w:tc>
          <w:tcPr>
            <w:tcW w:type="dxa" w:w="3360"/>
            <w:tcMar>
              <w:top w:type="dxa" w:w="50"/>
              <w:left w:type="dxa" w:w="90"/>
              <w:bottom w:type="dxa" w:w="50"/>
              <w:right w:type="dxa" w:w="90"/>
            </w:tcMar>
            <w:vAlign w:val="center"/>
          </w:tcPr>
          <w:p>
            <w:pPr>
              <w:spacing w:after="20"/>
              <w:jc w:val="left"/>
            </w:pPr>
            <w:r>
              <w:rPr>
                <w:sz w:val="18"/>
                <w:szCs w:val="18"/>
              </w:rPr>
              <w:t xml:space="preserve">Evita modificar la distribución de evaluación y respeta que las clases raras son pocas y correlacionadas en el tiempo.</w:t>
            </w:r>
          </w:p>
        </w:tc>
      </w:tr>
      <w:tr>
        <w:trPr>
          <w:cantSplit/>
        </w:trPr>
        <w:tc>
          <w:tcPr>
            <w:tcW w:type="dxa" w:w="1800"/>
            <w:tcMar>
              <w:top w:type="dxa" w:w="50"/>
              <w:left w:type="dxa" w:w="90"/>
              <w:bottom w:type="dxa" w:w="50"/>
              <w:right w:type="dxa" w:w="90"/>
            </w:tcMar>
            <w:vAlign w:val="center"/>
          </w:tcPr>
          <w:p>
            <w:pPr>
              <w:spacing w:after="20"/>
              <w:jc w:val="left"/>
            </w:pPr>
            <w:r>
              <w:rPr>
                <w:sz w:val="18"/>
                <w:szCs w:val="18"/>
              </w:rPr>
              <w:t xml:space="preserve">Uso indebido del examen</w:t>
            </w:r>
          </w:p>
        </w:tc>
        <w:tc>
          <w:tcPr>
            <w:tcW w:type="dxa" w:w="4200"/>
            <w:tcMar>
              <w:top w:type="dxa" w:w="50"/>
              <w:left w:type="dxa" w:w="90"/>
              <w:bottom w:type="dxa" w:w="50"/>
              <w:right w:type="dxa" w:w="90"/>
            </w:tcMar>
            <w:vAlign w:val="center"/>
          </w:tcPr>
          <w:p>
            <w:pPr>
              <w:spacing w:after="20"/>
              <w:jc w:val="left"/>
            </w:pPr>
            <w:r>
              <w:rPr>
                <w:sz w:val="18"/>
                <w:szCs w:val="18"/>
              </w:rPr>
              <w:t xml:space="preserve">Selección por validación cruzada con criterio declarado de antemano; candado en el script; registro de cada acceso; segunda consulta declarada como informativa.</w:t>
            </w:r>
          </w:p>
        </w:tc>
        <w:tc>
          <w:tcPr>
            <w:tcW w:type="dxa" w:w="3360"/>
            <w:tcMar>
              <w:top w:type="dxa" w:w="50"/>
              <w:left w:type="dxa" w:w="90"/>
              <w:bottom w:type="dxa" w:w="50"/>
              <w:right w:type="dxa" w:w="90"/>
            </w:tcMar>
            <w:vAlign w:val="center"/>
          </w:tcPr>
          <w:p>
            <w:pPr>
              <w:spacing w:after="20"/>
              <w:jc w:val="left"/>
            </w:pPr>
            <w:r>
              <w:rPr>
                <w:sz w:val="18"/>
                <w:szCs w:val="18"/>
              </w:rPr>
              <w:t xml:space="preserve">Elegir el modelo con el examen lo convertiría en un conjunto de validación y haría optimista el resultado final.</w:t>
            </w:r>
          </w:p>
        </w:tc>
      </w:tr>
    </w:tbl>
    <w:p>
      <w:pPr>
        <w:pStyle w:val="Heading1"/>
        <w:spacing w:after="200" w:before="480"/>
      </w:pPr>
      <w:r>
        <w:t xml:space="preserve">4. Modelado</w:t>
      </w:r>
    </w:p>
    <w:p>
      <w:pPr>
        <w:pStyle w:val="Heading2"/>
      </w:pPr>
      <w:r>
        <w:t xml:space="preserve">4.1 Líneas base y modelo lineal de referencia</w:t>
      </w:r>
    </w:p>
    <w:p>
      <w:pPr>
        <w:pStyle w:val="ListParagraph"/>
        <w:numPr>
          <w:ilvl w:val="0"/>
          <w:numId w:val="2"/>
        </w:numPr>
        <w:spacing w:after="60" w:line="264"/>
      </w:pPr>
      <w:r>
        <w:rPr>
          <w:b/>
          <w:bCs/>
        </w:rPr>
        <w:t xml:space="preserve">Base 1: crecimiento de hace 12 meses.</w:t>
      </w:r>
      <w:r>
        <w:t xml:space="preserve"> Predice que el crecimiento será igual al observado un año antes. Reproduce la práctica de planear con el crecimiento del año anterior.</w:t>
      </w:r>
    </w:p>
    <w:p>
      <w:pPr>
        <w:pStyle w:val="ListParagraph"/>
        <w:numPr>
          <w:ilvl w:val="0"/>
          <w:numId w:val="2"/>
        </w:numPr>
        <w:spacing w:after="60" w:line="264"/>
      </w:pPr>
      <w:r>
        <w:rPr>
          <w:b/>
          <w:bCs/>
        </w:rPr>
        <w:t xml:space="preserve">Base 2: promedio histórico de la especie.</w:t>
      </w:r>
      <w:r>
        <w:t xml:space="preserve"> Predice el crecimiento medio de la especie en el entrenamiento del pliegue. Es la referencia de un modelo que no usa ninguna variable explicativa.</w:t>
      </w:r>
    </w:p>
    <w:p>
      <w:pPr>
        <w:pStyle w:val="ListParagraph"/>
        <w:numPr>
          <w:ilvl w:val="0"/>
          <w:numId w:val="2"/>
        </w:numPr>
        <w:spacing w:after="60" w:line="264"/>
      </w:pPr>
      <w:r>
        <w:rPr>
          <w:b/>
          <w:bCs/>
        </w:rPr>
        <w:t xml:space="preserve">Modelo base lineal: regresión lineal sin regularizar.</w:t>
      </w:r>
      <w:r>
        <w:t xml:space="preserve"> Referencia de la familia lineal. Con 10 variables y unas 49 observaciones por especie se sobreajusta: error de validación de 13,0 pp en el mercado y R² fuera de pliegue de -6,4 (frente a 0,64 en entrenamiento). Por eso los modelos lineales finales llevan regularización (Ridge, Elastic Net).</w:t>
      </w:r>
    </w:p>
    <w:p>
      <w:pPr>
        <w:pStyle w:val="Heading2"/>
      </w:pPr>
      <w:r>
        <w:t xml:space="preserve">4.2 Selección de predictores</w:t>
      </w:r>
    </w:p>
    <w:p>
      <w:pPr>
        <w:spacing w:after="120" w:line="276"/>
      </w:pPr>
      <w:r>
        <w:t xml:space="preserve">Antes de comparar los modelos se revisó si otros predictores mejoraban el resultado, siempre con datos de desarrollo, las mismas filas y los mismos pliegues, con cinco modelos de rejilla reducida. Los conjuntos se declararon antes de evaluarlos: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200"/>
        <w:gridCol w:w="7160"/>
      </w:tblGrid>
      <w:tr>
        <w:trPr>
          <w:cantSplit/>
          <w:tblHeader/>
        </w:trPr>
        <w:tc>
          <w:tcPr>
            <w:tcW w:type="dxa" w:w="2200"/>
            <w:shd w:fill="E4EEEB" w:color="auto" w:val="clear"/>
            <w:tcMar>
              <w:top w:type="dxa" w:w="50"/>
              <w:left w:type="dxa" w:w="90"/>
              <w:bottom w:type="dxa" w:w="50"/>
              <w:right w:type="dxa" w:w="90"/>
            </w:tcMar>
            <w:vAlign w:val="center"/>
          </w:tcPr>
          <w:p>
            <w:pPr>
              <w:spacing w:after="20"/>
              <w:jc w:val="left"/>
            </w:pPr>
            <w:r>
              <w:rPr>
                <w:b/>
                <w:bCs/>
                <w:sz w:val="18"/>
                <w:szCs w:val="18"/>
              </w:rPr>
              <w:t xml:space="preserve">Conjunto</w:t>
            </w:r>
          </w:p>
        </w:tc>
        <w:tc>
          <w:tcPr>
            <w:tcW w:type="dxa" w:w="7160"/>
            <w:shd w:fill="E4EEEB" w:color="auto" w:val="clear"/>
            <w:tcMar>
              <w:top w:type="dxa" w:w="50"/>
              <w:left w:type="dxa" w:w="90"/>
              <w:bottom w:type="dxa" w:w="50"/>
              <w:right w:type="dxa" w:w="90"/>
            </w:tcMar>
            <w:vAlign w:val="center"/>
          </w:tcPr>
          <w:p>
            <w:pPr>
              <w:spacing w:after="20"/>
              <w:jc w:val="left"/>
            </w:pPr>
            <w:r>
              <w:rPr>
                <w:b/>
                <w:bCs/>
                <w:sz w:val="18"/>
                <w:szCs w:val="18"/>
              </w:rPr>
              <w:t xml:space="preserve">Contenido</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S0 (actual)</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Inflación, PIB, PIB agro, salario mínimo y cambio nominal de los cinco precios</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S1</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S0 + crecimiento de hace 12 meses de la propia serie (autorregresivo)</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S2 (reales)</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S0 con los precios deflactados por el IPC (cambio real)</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S3</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S0 + inflación y precios rezagados 6 y 12 meses</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S4</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S0 + participación del mercado donde compite en el mercado total</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S5</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S2 + autorregresivo + rezagos + participación</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S6</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S0 + TRM (cambio del promedio de 12 meses y rezagos de 6 y 12 meses)</w:t>
            </w:r>
          </w:p>
        </w:tc>
      </w:tr>
      <w:tr>
        <w:trPr>
          <w:cantSplit/>
        </w:trPr>
        <w:tc>
          <w:tcPr>
            <w:tcW w:type="dxa" w:w="2200"/>
            <w:tcMar>
              <w:top w:type="dxa" w:w="50"/>
              <w:left w:type="dxa" w:w="90"/>
              <w:bottom w:type="dxa" w:w="50"/>
              <w:right w:type="dxa" w:w="90"/>
            </w:tcMar>
            <w:vAlign w:val="center"/>
          </w:tcPr>
          <w:p>
            <w:pPr>
              <w:spacing w:after="20"/>
              <w:jc w:val="left"/>
            </w:pPr>
            <w:r>
              <w:rPr>
                <w:b/>
                <w:bCs/>
                <w:sz w:val="18"/>
                <w:szCs w:val="18"/>
              </w:rPr>
              <w:t xml:space="preserve">S7</w:t>
            </w:r>
          </w:p>
        </w:tc>
        <w:tc>
          <w:tcPr>
            <w:tcW w:type="dxa" w:w="7160"/>
            <w:tcMar>
              <w:top w:type="dxa" w:w="50"/>
              <w:left w:type="dxa" w:w="90"/>
              <w:bottom w:type="dxa" w:w="50"/>
              <w:right w:type="dxa" w:w="90"/>
            </w:tcMar>
            <w:vAlign w:val="center"/>
          </w:tcPr>
          <w:p>
            <w:pPr>
              <w:spacing w:after="20"/>
              <w:jc w:val="left"/>
            </w:pPr>
            <w:r>
              <w:rPr>
                <w:b w:val="false"/>
                <w:bCs w:val="false"/>
                <w:sz w:val="18"/>
                <w:szCs w:val="18"/>
              </w:rPr>
              <w:t xml:space="preserve">S2 + TRM</w:t>
            </w:r>
          </w:p>
        </w:tc>
      </w:tr>
    </w:tbl>
    <w:p>
      <w:pPr>
        <w:keepNext/>
        <w:spacing w:after="60" w:before="160"/>
      </w:pPr>
      <w:r>
        <w:rPr>
          <w:b/>
          <w:bCs/>
          <w:color w:val="13201C"/>
          <w:sz w:val="19"/>
          <w:szCs w:val="19"/>
        </w:rPr>
        <w:t xml:space="preserve">Tabla 4. Error de validación cruzada del mejor modelo de cada conjunto (MAE, pp)</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600"/>
        <w:gridCol w:w="1700"/>
        <w:gridCol w:w="2300"/>
        <w:gridCol w:w="1760"/>
      </w:tblGrid>
      <w:tr>
        <w:trPr>
          <w:cantSplit/>
          <w:tblHeader/>
        </w:trPr>
        <w:tc>
          <w:tcPr>
            <w:tcW w:type="dxa" w:w="3600"/>
            <w:shd w:fill="E4EEEB" w:color="auto" w:val="clear"/>
            <w:tcMar>
              <w:top w:type="dxa" w:w="50"/>
              <w:left w:type="dxa" w:w="90"/>
              <w:bottom w:type="dxa" w:w="50"/>
              <w:right w:type="dxa" w:w="90"/>
            </w:tcMar>
            <w:vAlign w:val="center"/>
          </w:tcPr>
          <w:p>
            <w:pPr>
              <w:spacing w:after="20"/>
              <w:jc w:val="left"/>
            </w:pPr>
            <w:r>
              <w:rPr>
                <w:b/>
                <w:bCs/>
                <w:sz w:val="18"/>
                <w:szCs w:val="18"/>
              </w:rPr>
              <w:t xml:space="preserve">Conjunto</w:t>
            </w:r>
          </w:p>
        </w:tc>
        <w:tc>
          <w:tcPr>
            <w:tcW w:type="dxa" w:w="170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2300"/>
            <w:shd w:fill="E4EEEB" w:color="auto" w:val="clear"/>
            <w:tcMar>
              <w:top w:type="dxa" w:w="50"/>
              <w:left w:type="dxa" w:w="90"/>
              <w:bottom w:type="dxa" w:w="50"/>
              <w:right w:type="dxa" w:w="90"/>
            </w:tcMar>
            <w:vAlign w:val="center"/>
          </w:tcPr>
          <w:p>
            <w:pPr>
              <w:spacing w:after="20"/>
              <w:jc w:val="right"/>
            </w:pPr>
            <w:r>
              <w:rPr>
                <w:b/>
                <w:bCs/>
                <w:sz w:val="18"/>
                <w:szCs w:val="18"/>
              </w:rPr>
              <w:t xml:space="preserve">Mercado donde compite</w:t>
            </w:r>
          </w:p>
        </w:tc>
        <w:tc>
          <w:tcPr>
            <w:tcW w:type="dxa" w:w="176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S0 actual</w:t>
            </w:r>
          </w:p>
        </w:tc>
        <w:tc>
          <w:tcPr>
            <w:tcW w:type="dxa" w:w="1700"/>
            <w:tcMar>
              <w:top w:type="dxa" w:w="50"/>
              <w:left w:type="dxa" w:w="90"/>
              <w:bottom w:type="dxa" w:w="50"/>
              <w:right w:type="dxa" w:w="90"/>
            </w:tcMar>
            <w:vAlign w:val="center"/>
          </w:tcPr>
          <w:p>
            <w:pPr>
              <w:spacing w:after="20"/>
              <w:jc w:val="right"/>
            </w:pPr>
            <w:r>
              <w:rPr>
                <w:sz w:val="18"/>
                <w:szCs w:val="18"/>
              </w:rPr>
              <w:t xml:space="preserve">4,19</w:t>
            </w:r>
          </w:p>
        </w:tc>
        <w:tc>
          <w:tcPr>
            <w:tcW w:type="dxa" w:w="2300"/>
            <w:tcMar>
              <w:top w:type="dxa" w:w="50"/>
              <w:left w:type="dxa" w:w="90"/>
              <w:bottom w:type="dxa" w:w="50"/>
              <w:right w:type="dxa" w:w="90"/>
            </w:tcMar>
            <w:vAlign w:val="center"/>
          </w:tcPr>
          <w:p>
            <w:pPr>
              <w:spacing w:after="20"/>
              <w:jc w:val="right"/>
            </w:pPr>
            <w:r>
              <w:rPr>
                <w:sz w:val="18"/>
                <w:szCs w:val="18"/>
              </w:rPr>
              <w:t xml:space="preserve">5,66</w:t>
            </w:r>
          </w:p>
        </w:tc>
        <w:tc>
          <w:tcPr>
            <w:tcW w:type="dxa" w:w="1760"/>
            <w:tcMar>
              <w:top w:type="dxa" w:w="50"/>
              <w:left w:type="dxa" w:w="90"/>
              <w:bottom w:type="dxa" w:w="50"/>
              <w:right w:type="dxa" w:w="90"/>
            </w:tcMar>
            <w:vAlign w:val="center"/>
          </w:tcPr>
          <w:p>
            <w:pPr>
              <w:spacing w:after="20"/>
              <w:jc w:val="right"/>
            </w:pPr>
            <w:r>
              <w:rPr>
                <w:sz w:val="18"/>
                <w:szCs w:val="18"/>
              </w:rPr>
              <w:t xml:space="preserve">5,31</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S1 ar</w:t>
            </w:r>
          </w:p>
        </w:tc>
        <w:tc>
          <w:tcPr>
            <w:tcW w:type="dxa" w:w="1700"/>
            <w:tcMar>
              <w:top w:type="dxa" w:w="50"/>
              <w:left w:type="dxa" w:w="90"/>
              <w:bottom w:type="dxa" w:w="50"/>
              <w:right w:type="dxa" w:w="90"/>
            </w:tcMar>
            <w:vAlign w:val="center"/>
          </w:tcPr>
          <w:p>
            <w:pPr>
              <w:spacing w:after="20"/>
              <w:jc w:val="right"/>
            </w:pPr>
            <w:r>
              <w:rPr>
                <w:sz w:val="18"/>
                <w:szCs w:val="18"/>
              </w:rPr>
              <w:t xml:space="preserve">4,19</w:t>
            </w:r>
          </w:p>
        </w:tc>
        <w:tc>
          <w:tcPr>
            <w:tcW w:type="dxa" w:w="2300"/>
            <w:tcMar>
              <w:top w:type="dxa" w:w="50"/>
              <w:left w:type="dxa" w:w="90"/>
              <w:bottom w:type="dxa" w:w="50"/>
              <w:right w:type="dxa" w:w="90"/>
            </w:tcMar>
            <w:vAlign w:val="center"/>
          </w:tcPr>
          <w:p>
            <w:pPr>
              <w:spacing w:after="20"/>
              <w:jc w:val="right"/>
            </w:pPr>
            <w:r>
              <w:rPr>
                <w:sz w:val="18"/>
                <w:szCs w:val="18"/>
              </w:rPr>
              <w:t xml:space="preserve">5,66</w:t>
            </w:r>
          </w:p>
        </w:tc>
        <w:tc>
          <w:tcPr>
            <w:tcW w:type="dxa" w:w="1760"/>
            <w:tcMar>
              <w:top w:type="dxa" w:w="50"/>
              <w:left w:type="dxa" w:w="90"/>
              <w:bottom w:type="dxa" w:w="50"/>
              <w:right w:type="dxa" w:w="90"/>
            </w:tcMar>
            <w:vAlign w:val="center"/>
          </w:tcPr>
          <w:p>
            <w:pPr>
              <w:spacing w:after="20"/>
              <w:jc w:val="right"/>
            </w:pPr>
            <w:r>
              <w:rPr>
                <w:sz w:val="18"/>
                <w:szCs w:val="18"/>
              </w:rPr>
              <w:t xml:space="preserve">–</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S2 real</w:t>
            </w:r>
          </w:p>
        </w:tc>
        <w:tc>
          <w:tcPr>
            <w:tcW w:type="dxa" w:w="1700"/>
            <w:tcMar>
              <w:top w:type="dxa" w:w="50"/>
              <w:left w:type="dxa" w:w="90"/>
              <w:bottom w:type="dxa" w:w="50"/>
              <w:right w:type="dxa" w:w="90"/>
            </w:tcMar>
            <w:vAlign w:val="center"/>
          </w:tcPr>
          <w:p>
            <w:pPr>
              <w:spacing w:after="20"/>
              <w:jc w:val="right"/>
            </w:pPr>
            <w:r>
              <w:rPr>
                <w:sz w:val="18"/>
                <w:szCs w:val="18"/>
              </w:rPr>
              <w:t xml:space="preserve">3,80</w:t>
            </w:r>
          </w:p>
        </w:tc>
        <w:tc>
          <w:tcPr>
            <w:tcW w:type="dxa" w:w="2300"/>
            <w:tcMar>
              <w:top w:type="dxa" w:w="50"/>
              <w:left w:type="dxa" w:w="90"/>
              <w:bottom w:type="dxa" w:w="50"/>
              <w:right w:type="dxa" w:w="90"/>
            </w:tcMar>
            <w:vAlign w:val="center"/>
          </w:tcPr>
          <w:p>
            <w:pPr>
              <w:spacing w:after="20"/>
              <w:jc w:val="right"/>
            </w:pPr>
            <w:r>
              <w:rPr>
                <w:sz w:val="18"/>
                <w:szCs w:val="18"/>
              </w:rPr>
              <w:t xml:space="preserve">5,21</w:t>
            </w:r>
          </w:p>
        </w:tc>
        <w:tc>
          <w:tcPr>
            <w:tcW w:type="dxa" w:w="1760"/>
            <w:tcMar>
              <w:top w:type="dxa" w:w="50"/>
              <w:left w:type="dxa" w:w="90"/>
              <w:bottom w:type="dxa" w:w="50"/>
              <w:right w:type="dxa" w:w="90"/>
            </w:tcMar>
            <w:vAlign w:val="center"/>
          </w:tcPr>
          <w:p>
            <w:pPr>
              <w:spacing w:after="20"/>
              <w:jc w:val="right"/>
            </w:pPr>
            <w:r>
              <w:rPr>
                <w:sz w:val="18"/>
                <w:szCs w:val="18"/>
              </w:rPr>
              <w:t xml:space="preserve">5,85</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S3 rezagos</w:t>
            </w:r>
          </w:p>
        </w:tc>
        <w:tc>
          <w:tcPr>
            <w:tcW w:type="dxa" w:w="1700"/>
            <w:tcMar>
              <w:top w:type="dxa" w:w="50"/>
              <w:left w:type="dxa" w:w="90"/>
              <w:bottom w:type="dxa" w:w="50"/>
              <w:right w:type="dxa" w:w="90"/>
            </w:tcMar>
            <w:vAlign w:val="center"/>
          </w:tcPr>
          <w:p>
            <w:pPr>
              <w:spacing w:after="20"/>
              <w:jc w:val="right"/>
            </w:pPr>
            <w:r>
              <w:rPr>
                <w:sz w:val="18"/>
                <w:szCs w:val="18"/>
              </w:rPr>
              <w:t xml:space="preserve">4,13</w:t>
            </w:r>
          </w:p>
        </w:tc>
        <w:tc>
          <w:tcPr>
            <w:tcW w:type="dxa" w:w="2300"/>
            <w:tcMar>
              <w:top w:type="dxa" w:w="50"/>
              <w:left w:type="dxa" w:w="90"/>
              <w:bottom w:type="dxa" w:w="50"/>
              <w:right w:type="dxa" w:w="90"/>
            </w:tcMar>
            <w:vAlign w:val="center"/>
          </w:tcPr>
          <w:p>
            <w:pPr>
              <w:spacing w:after="20"/>
              <w:jc w:val="right"/>
            </w:pPr>
            <w:r>
              <w:rPr>
                <w:sz w:val="18"/>
                <w:szCs w:val="18"/>
              </w:rPr>
              <w:t xml:space="preserve">5,38</w:t>
            </w:r>
          </w:p>
        </w:tc>
        <w:tc>
          <w:tcPr>
            <w:tcW w:type="dxa" w:w="1760"/>
            <w:tcMar>
              <w:top w:type="dxa" w:w="50"/>
              <w:left w:type="dxa" w:w="90"/>
              <w:bottom w:type="dxa" w:w="50"/>
              <w:right w:type="dxa" w:w="90"/>
            </w:tcMar>
            <w:vAlign w:val="center"/>
          </w:tcPr>
          <w:p>
            <w:pPr>
              <w:spacing w:after="20"/>
              <w:jc w:val="right"/>
            </w:pPr>
            <w:r>
              <w:rPr>
                <w:sz w:val="18"/>
                <w:szCs w:val="18"/>
              </w:rPr>
              <w:t xml:space="preserve">5,39</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S4 mezcla</w:t>
            </w:r>
          </w:p>
        </w:tc>
        <w:tc>
          <w:tcPr>
            <w:tcW w:type="dxa" w:w="1700"/>
            <w:tcMar>
              <w:top w:type="dxa" w:w="50"/>
              <w:left w:type="dxa" w:w="90"/>
              <w:bottom w:type="dxa" w:w="50"/>
              <w:right w:type="dxa" w:w="90"/>
            </w:tcMar>
            <w:vAlign w:val="center"/>
          </w:tcPr>
          <w:p>
            <w:pPr>
              <w:spacing w:after="20"/>
              <w:jc w:val="right"/>
            </w:pPr>
            <w:r>
              <w:rPr>
                <w:sz w:val="18"/>
                <w:szCs w:val="18"/>
              </w:rPr>
              <w:t xml:space="preserve">4,20</w:t>
            </w:r>
          </w:p>
        </w:tc>
        <w:tc>
          <w:tcPr>
            <w:tcW w:type="dxa" w:w="2300"/>
            <w:tcMar>
              <w:top w:type="dxa" w:w="50"/>
              <w:left w:type="dxa" w:w="90"/>
              <w:bottom w:type="dxa" w:w="50"/>
              <w:right w:type="dxa" w:w="90"/>
            </w:tcMar>
            <w:vAlign w:val="center"/>
          </w:tcPr>
          <w:p>
            <w:pPr>
              <w:spacing w:after="20"/>
              <w:jc w:val="right"/>
            </w:pPr>
            <w:r>
              <w:rPr>
                <w:sz w:val="18"/>
                <w:szCs w:val="18"/>
              </w:rPr>
              <w:t xml:space="preserve">5,67</w:t>
            </w:r>
          </w:p>
        </w:tc>
        <w:tc>
          <w:tcPr>
            <w:tcW w:type="dxa" w:w="1760"/>
            <w:tcMar>
              <w:top w:type="dxa" w:w="50"/>
              <w:left w:type="dxa" w:w="90"/>
              <w:bottom w:type="dxa" w:w="50"/>
              <w:right w:type="dxa" w:w="90"/>
            </w:tcMar>
            <w:vAlign w:val="center"/>
          </w:tcPr>
          <w:p>
            <w:pPr>
              <w:spacing w:after="20"/>
              <w:jc w:val="right"/>
            </w:pPr>
            <w:r>
              <w:rPr>
                <w:sz w:val="18"/>
                <w:szCs w:val="18"/>
              </w:rPr>
              <w:t xml:space="preserve">5,31</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S5 todo</w:t>
            </w:r>
          </w:p>
        </w:tc>
        <w:tc>
          <w:tcPr>
            <w:tcW w:type="dxa" w:w="1700"/>
            <w:tcMar>
              <w:top w:type="dxa" w:w="50"/>
              <w:left w:type="dxa" w:w="90"/>
              <w:bottom w:type="dxa" w:w="50"/>
              <w:right w:type="dxa" w:w="90"/>
            </w:tcMar>
            <w:vAlign w:val="center"/>
          </w:tcPr>
          <w:p>
            <w:pPr>
              <w:spacing w:after="20"/>
              <w:jc w:val="right"/>
            </w:pPr>
            <w:r>
              <w:rPr>
                <w:sz w:val="18"/>
                <w:szCs w:val="18"/>
              </w:rPr>
              <w:t xml:space="preserve">4,00</w:t>
            </w:r>
          </w:p>
        </w:tc>
        <w:tc>
          <w:tcPr>
            <w:tcW w:type="dxa" w:w="2300"/>
            <w:tcMar>
              <w:top w:type="dxa" w:w="50"/>
              <w:left w:type="dxa" w:w="90"/>
              <w:bottom w:type="dxa" w:w="50"/>
              <w:right w:type="dxa" w:w="90"/>
            </w:tcMar>
            <w:vAlign w:val="center"/>
          </w:tcPr>
          <w:p>
            <w:pPr>
              <w:spacing w:after="20"/>
              <w:jc w:val="right"/>
            </w:pPr>
            <w:r>
              <w:rPr>
                <w:sz w:val="18"/>
                <w:szCs w:val="18"/>
              </w:rPr>
              <w:t xml:space="preserve">5,15</w:t>
            </w:r>
          </w:p>
        </w:tc>
        <w:tc>
          <w:tcPr>
            <w:tcW w:type="dxa" w:w="1760"/>
            <w:tcMar>
              <w:top w:type="dxa" w:w="50"/>
              <w:left w:type="dxa" w:w="90"/>
              <w:bottom w:type="dxa" w:w="50"/>
              <w:right w:type="dxa" w:w="90"/>
            </w:tcMar>
            <w:vAlign w:val="center"/>
          </w:tcPr>
          <w:p>
            <w:pPr>
              <w:spacing w:after="20"/>
              <w:jc w:val="right"/>
            </w:pPr>
            <w:r>
              <w:rPr>
                <w:sz w:val="18"/>
                <w:szCs w:val="18"/>
              </w:rPr>
              <w:t xml:space="preserve">–</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S6 trm</w:t>
            </w:r>
          </w:p>
        </w:tc>
        <w:tc>
          <w:tcPr>
            <w:tcW w:type="dxa" w:w="1700"/>
            <w:tcMar>
              <w:top w:type="dxa" w:w="50"/>
              <w:left w:type="dxa" w:w="90"/>
              <w:bottom w:type="dxa" w:w="50"/>
              <w:right w:type="dxa" w:w="90"/>
            </w:tcMar>
            <w:vAlign w:val="center"/>
          </w:tcPr>
          <w:p>
            <w:pPr>
              <w:spacing w:after="20"/>
              <w:jc w:val="right"/>
            </w:pPr>
            <w:r>
              <w:rPr>
                <w:sz w:val="18"/>
                <w:szCs w:val="18"/>
              </w:rPr>
              <w:t xml:space="preserve">4,19</w:t>
            </w:r>
          </w:p>
        </w:tc>
        <w:tc>
          <w:tcPr>
            <w:tcW w:type="dxa" w:w="2300"/>
            <w:tcMar>
              <w:top w:type="dxa" w:w="50"/>
              <w:left w:type="dxa" w:w="90"/>
              <w:bottom w:type="dxa" w:w="50"/>
              <w:right w:type="dxa" w:w="90"/>
            </w:tcMar>
            <w:vAlign w:val="center"/>
          </w:tcPr>
          <w:p>
            <w:pPr>
              <w:spacing w:after="20"/>
              <w:jc w:val="right"/>
            </w:pPr>
            <w:r>
              <w:rPr>
                <w:sz w:val="18"/>
                <w:szCs w:val="18"/>
              </w:rPr>
              <w:t xml:space="preserve">5,67</w:t>
            </w:r>
          </w:p>
        </w:tc>
        <w:tc>
          <w:tcPr>
            <w:tcW w:type="dxa" w:w="1760"/>
            <w:tcMar>
              <w:top w:type="dxa" w:w="50"/>
              <w:left w:type="dxa" w:w="90"/>
              <w:bottom w:type="dxa" w:w="50"/>
              <w:right w:type="dxa" w:w="90"/>
            </w:tcMar>
            <w:vAlign w:val="center"/>
          </w:tcPr>
          <w:p>
            <w:pPr>
              <w:spacing w:after="20"/>
              <w:jc w:val="right"/>
            </w:pPr>
            <w:r>
              <w:rPr>
                <w:sz w:val="18"/>
                <w:szCs w:val="18"/>
              </w:rPr>
              <w:t xml:space="preserve">5,31</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S7 real_trm</w:t>
            </w:r>
          </w:p>
        </w:tc>
        <w:tc>
          <w:tcPr>
            <w:tcW w:type="dxa" w:w="1700"/>
            <w:tcMar>
              <w:top w:type="dxa" w:w="50"/>
              <w:left w:type="dxa" w:w="90"/>
              <w:bottom w:type="dxa" w:w="50"/>
              <w:right w:type="dxa" w:w="90"/>
            </w:tcMar>
            <w:vAlign w:val="center"/>
          </w:tcPr>
          <w:p>
            <w:pPr>
              <w:spacing w:after="20"/>
              <w:jc w:val="right"/>
            </w:pPr>
            <w:r>
              <w:rPr>
                <w:sz w:val="18"/>
                <w:szCs w:val="18"/>
              </w:rPr>
              <w:t xml:space="preserve">3,75</w:t>
            </w:r>
          </w:p>
        </w:tc>
        <w:tc>
          <w:tcPr>
            <w:tcW w:type="dxa" w:w="2300"/>
            <w:tcMar>
              <w:top w:type="dxa" w:w="50"/>
              <w:left w:type="dxa" w:w="90"/>
              <w:bottom w:type="dxa" w:w="50"/>
              <w:right w:type="dxa" w:w="90"/>
            </w:tcMar>
            <w:vAlign w:val="center"/>
          </w:tcPr>
          <w:p>
            <w:pPr>
              <w:spacing w:after="20"/>
              <w:jc w:val="right"/>
            </w:pPr>
            <w:r>
              <w:rPr>
                <w:sz w:val="18"/>
                <w:szCs w:val="18"/>
              </w:rPr>
              <w:t xml:space="preserve">5,25</w:t>
            </w:r>
          </w:p>
        </w:tc>
        <w:tc>
          <w:tcPr>
            <w:tcW w:type="dxa" w:w="1760"/>
            <w:tcMar>
              <w:top w:type="dxa" w:w="50"/>
              <w:left w:type="dxa" w:w="90"/>
              <w:bottom w:type="dxa" w:w="50"/>
              <w:right w:type="dxa" w:w="90"/>
            </w:tcMar>
            <w:vAlign w:val="center"/>
          </w:tcPr>
          <w:p>
            <w:pPr>
              <w:spacing w:after="20"/>
              <w:jc w:val="right"/>
            </w:pPr>
            <w:r>
              <w:rPr>
                <w:sz w:val="18"/>
                <w:szCs w:val="18"/>
              </w:rPr>
              <w:t xml:space="preserve">5,85</w:t>
            </w:r>
          </w:p>
        </w:tc>
      </w:tr>
      <w:tr>
        <w:trPr>
          <w:cantSplit/>
        </w:trPr>
        <w:tc>
          <w:tcPr>
            <w:tcW w:type="dxa" w:w="3600"/>
            <w:tcMar>
              <w:top w:type="dxa" w:w="50"/>
              <w:left w:type="dxa" w:w="90"/>
              <w:bottom w:type="dxa" w:w="50"/>
              <w:right w:type="dxa" w:w="90"/>
            </w:tcMar>
            <w:vAlign w:val="center"/>
          </w:tcPr>
          <w:p>
            <w:pPr>
              <w:spacing w:after="20"/>
              <w:jc w:val="left"/>
            </w:pPr>
            <w:r>
              <w:rPr>
                <w:sz w:val="18"/>
                <w:szCs w:val="18"/>
              </w:rPr>
              <w:t xml:space="preserve">Referencia: promedio de la especie</w:t>
            </w:r>
          </w:p>
        </w:tc>
        <w:tc>
          <w:tcPr>
            <w:tcW w:type="dxa" w:w="1700"/>
            <w:tcMar>
              <w:top w:type="dxa" w:w="50"/>
              <w:left w:type="dxa" w:w="90"/>
              <w:bottom w:type="dxa" w:w="50"/>
              <w:right w:type="dxa" w:w="90"/>
            </w:tcMar>
            <w:vAlign w:val="center"/>
          </w:tcPr>
          <w:p>
            <w:pPr>
              <w:spacing w:after="20"/>
              <w:jc w:val="right"/>
            </w:pPr>
            <w:r>
              <w:rPr>
                <w:sz w:val="18"/>
                <w:szCs w:val="18"/>
              </w:rPr>
              <w:t xml:space="preserve">4,46</w:t>
            </w:r>
          </w:p>
        </w:tc>
        <w:tc>
          <w:tcPr>
            <w:tcW w:type="dxa" w:w="2300"/>
            <w:tcMar>
              <w:top w:type="dxa" w:w="50"/>
              <w:left w:type="dxa" w:w="90"/>
              <w:bottom w:type="dxa" w:w="50"/>
              <w:right w:type="dxa" w:w="90"/>
            </w:tcMar>
            <w:vAlign w:val="center"/>
          </w:tcPr>
          <w:p>
            <w:pPr>
              <w:spacing w:after="20"/>
              <w:jc w:val="right"/>
            </w:pPr>
            <w:r>
              <w:rPr>
                <w:sz w:val="18"/>
                <w:szCs w:val="18"/>
              </w:rPr>
              <w:t xml:space="preserve">5,83</w:t>
            </w:r>
          </w:p>
        </w:tc>
        <w:tc>
          <w:tcPr>
            <w:tcW w:type="dxa" w:w="1760"/>
            <w:tcMar>
              <w:top w:type="dxa" w:w="50"/>
              <w:left w:type="dxa" w:w="90"/>
              <w:bottom w:type="dxa" w:w="50"/>
              <w:right w:type="dxa" w:w="90"/>
            </w:tcMar>
            <w:vAlign w:val="center"/>
          </w:tcPr>
          <w:p>
            <w:pPr>
              <w:spacing w:after="20"/>
              <w:jc w:val="right"/>
            </w:pPr>
            <w:r>
              <w:rPr>
                <w:sz w:val="18"/>
                <w:szCs w:val="18"/>
              </w:rPr>
              <w:t xml:space="preserve">6,11</w:t>
            </w:r>
          </w:p>
        </w:tc>
      </w:tr>
    </w:tbl>
    <w:p>
      <w:pPr>
        <w:keepNext/>
        <w:spacing w:after="40" w:before="80"/>
        <w:jc w:val="center"/>
      </w:pPr>
      <w:r>
        <w:drawing>
          <wp:inline distT="0" distB="0" distL="0" distR="0">
            <wp:extent cx="5334000" cy="2038350"/>
            <wp:effectExtent t="0" r="0" b="0" l="0"/>
            <wp:docPr id="1" name="f8_cribado.png" descr="f8_cribado.png" title="f8_crib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38350"/>
                    </a:xfrm>
                    <a:prstGeom prst="rect">
                      <a:avLst/>
                    </a:prstGeom>
                  </pic:spPr>
                </pic:pic>
              </a:graphicData>
            </a:graphic>
          </wp:inline>
        </w:drawing>
      </w:r>
    </w:p>
    <w:p>
      <w:pPr>
        <w:spacing w:after="200" w:before="60"/>
      </w:pPr>
      <w:r>
        <w:rPr>
          <w:i/>
          <w:iCs/>
          <w:color w:val="5E6E69"/>
          <w:sz w:val="18"/>
          <w:szCs w:val="18"/>
        </w:rPr>
        <w:t xml:space="preserve">Figura 3. MAE de validación cruzada por conjunto de predictores. En azul, los conjuntos con precios reales.</w:t>
      </w:r>
    </w:p>
    <w:p>
      <w:pPr>
        <w:pStyle w:val="ListParagraph"/>
        <w:numPr>
          <w:ilvl w:val="0"/>
          <w:numId w:val="2"/>
        </w:numPr>
        <w:spacing w:after="60" w:line="264"/>
      </w:pPr>
      <w:r>
        <w:rPr>
          <w:b/>
          <w:bCs/>
        </w:rPr>
        <w:t xml:space="preserve">Precios reales (S2):</w:t>
      </w:r>
      <w:r>
        <w:t xml:space="preserve"> mejoran el mercado de 4,19 a 3,80 pp y el mercado donde compite de 5,66 a 5,21. La mejora es de unos 0,4 pp y la diferencia entre pliegues es de 0,5 pp, así que no es concluyente por sí sola. Empeoran un poco el Laboratorio (5,31 a 5,85), dentro del ruido. El equipo decidió adoptarlos para todos los modelos.</w:t>
      </w:r>
    </w:p>
    <w:p>
      <w:pPr>
        <w:pStyle w:val="ListParagraph"/>
        <w:numPr>
          <w:ilvl w:val="0"/>
          <w:numId w:val="2"/>
        </w:numPr>
        <w:spacing w:after="60" w:line="264"/>
      </w:pPr>
      <w:r>
        <w:rPr>
          <w:b/>
          <w:bCs/>
        </w:rPr>
        <w:t xml:space="preserve">TRM:</w:t>
      </w:r>
      <w:r>
        <w:t xml:space="preserve"> agregada a S0 no cambia nada (4,19 pp) y agregada a los precios reales aporta 0,05 pp en el mercado, dentro del ruido. No explica el crecimiento del mercado con estos datos, y no entró al modelo.</w:t>
      </w:r>
    </w:p>
    <w:p>
      <w:pPr>
        <w:pStyle w:val="ListParagraph"/>
        <w:numPr>
          <w:ilvl w:val="0"/>
          <w:numId w:val="2"/>
        </w:numPr>
        <w:spacing w:after="60" w:line="264"/>
      </w:pPr>
      <w:r>
        <w:rPr>
          <w:b/>
          <w:bCs/>
        </w:rPr>
        <w:t xml:space="preserve">Autorregresivo, rezagos y participación:</w:t>
      </w:r>
      <w:r>
        <w:t xml:space="preserve"> no mejoran. El crecimiento del año anterior no predice el siguiente (autocorrelación de 12 meses cercana a cero dentro de cada especie).</w:t>
      </w:r>
    </w:p>
    <w:p>
      <w:pPr>
        <w:keepNext/>
        <w:spacing w:after="60" w:before="160"/>
      </w:pPr>
      <w:r>
        <w:rPr>
          <w:b/>
          <w:bCs/>
          <w:sz w:val="23"/>
          <w:szCs w:val="23"/>
        </w:rPr>
        <w:t xml:space="preserve">Variables importantes</w:t>
      </w:r>
    </w:p>
    <w:p>
      <w:pPr>
        <w:spacing w:after="120" w:line="276"/>
      </w:pPr>
      <w:r>
        <w:t xml:space="preserve">Para identificar qué variables importan se usó la importancia por permutación (cuánto sube el error fuera de pliegue al barajar una variable) con tres columnas de ruido como control: una variable cuenta solo si supera al mayor control (en el mercado, 0,009 pp con Gradient Boosting). También se calcularon la importancia por impureza del bosque y la estabilidad de Lasso. Esta última no discrimina: los controles de ruido quedan elegidos hasta 60% a 75% de las veces.</w:t>
      </w:r>
    </w:p>
    <w:p>
      <w:pPr>
        <w:keepNext/>
        <w:spacing w:after="40" w:before="80"/>
        <w:jc w:val="center"/>
      </w:pPr>
      <w:r>
        <w:drawing>
          <wp:inline distT="0" distB="0" distL="0" distR="0">
            <wp:extent cx="5334000" cy="2343150"/>
            <wp:effectExtent t="0" r="0" b="0" l="0"/>
            <wp:docPr id="1" name="f7_importancia.png" descr="f7_importancia.png" title="f7_importa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spacing w:after="200" w:before="60"/>
      </w:pPr>
      <w:r>
        <w:rPr>
          <w:i/>
          <w:iCs/>
          <w:color w:val="5E6E69"/>
          <w:sz w:val="18"/>
          <w:szCs w:val="18"/>
        </w:rPr>
        <w:t xml:space="preserve">Figura 4. Importancia por permutación (Gradient Boosting) con el conjunto S7. La línea naranja es el mayor control de ruido.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4200"/>
        <w:gridCol w:w="2580"/>
        <w:gridCol w:w="2580"/>
      </w:tblGrid>
      <w:tr>
        <w:trPr>
          <w:cantSplit/>
          <w:tblHeader/>
        </w:trPr>
        <w:tc>
          <w:tcPr>
            <w:tcW w:type="dxa" w:w="4200"/>
            <w:shd w:fill="E4EEEB" w:color="auto" w:val="clear"/>
            <w:tcMar>
              <w:top w:type="dxa" w:w="50"/>
              <w:left w:type="dxa" w:w="90"/>
              <w:bottom w:type="dxa" w:w="50"/>
              <w:right w:type="dxa" w:w="90"/>
            </w:tcMar>
            <w:vAlign w:val="center"/>
          </w:tcPr>
          <w:p>
            <w:pPr>
              <w:spacing w:after="20"/>
              <w:jc w:val="left"/>
            </w:pPr>
            <w:r>
              <w:rPr>
                <w:b/>
                <w:bCs/>
                <w:sz w:val="18"/>
                <w:szCs w:val="18"/>
              </w:rPr>
              <w:t xml:space="preserve">Variable</w:t>
            </w:r>
          </w:p>
        </w:tc>
        <w:tc>
          <w:tcPr>
            <w:tcW w:type="dxa" w:w="2580"/>
            <w:shd w:fill="E4EEEB" w:color="auto" w:val="clear"/>
            <w:tcMar>
              <w:top w:type="dxa" w:w="50"/>
              <w:left w:type="dxa" w:w="90"/>
              <w:bottom w:type="dxa" w:w="50"/>
              <w:right w:type="dxa" w:w="90"/>
            </w:tcMar>
            <w:vAlign w:val="center"/>
          </w:tcPr>
          <w:p>
            <w:pPr>
              <w:spacing w:after="20"/>
              <w:jc w:val="right"/>
            </w:pPr>
            <w:r>
              <w:rPr>
                <w:b/>
                <w:bCs/>
                <w:sz w:val="18"/>
                <w:szCs w:val="18"/>
              </w:rPr>
              <w:t xml:space="preserve">Importancia en el mercado (pp)</w:t>
            </w:r>
          </w:p>
        </w:tc>
        <w:tc>
          <w:tcPr>
            <w:tcW w:type="dxa" w:w="2580"/>
            <w:shd w:fill="E4EEEB" w:color="auto" w:val="clear"/>
            <w:tcMar>
              <w:top w:type="dxa" w:w="50"/>
              <w:left w:type="dxa" w:w="90"/>
              <w:bottom w:type="dxa" w:w="50"/>
              <w:right w:type="dxa" w:w="90"/>
            </w:tcMar>
            <w:vAlign w:val="center"/>
          </w:tcPr>
          <w:p>
            <w:pPr>
              <w:spacing w:after="20"/>
              <w:jc w:val="right"/>
            </w:pPr>
            <w:r>
              <w:rPr>
                <w:b/>
                <w:bCs/>
                <w:sz w:val="18"/>
                <w:szCs w:val="18"/>
              </w:rPr>
              <w:t xml:space="preserve">Importancia en el Laboratorio (pp)</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Precio real de la carne de cerdo</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0,40</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0,04</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Precio real del huevo</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0,09</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0,61</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Precio real de la carne de res</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0,01</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0,08</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Inflación de animales de compañía</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0,08</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0,12</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Crecimiento del mercado donde compite</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0,24</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PIB, PIB agropecuario, salario mínimo e inflación</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 0,00</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 0,00 a 0,03</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TRM (tres variables)</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 0,00</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0,04</w:t>
            </w:r>
          </w:p>
        </w:tc>
      </w:tr>
      <w:tr>
        <w:trPr>
          <w:cantSplit/>
        </w:trPr>
        <w:tc>
          <w:tcPr>
            <w:tcW w:type="dxa" w:w="4200"/>
            <w:tcMar>
              <w:top w:type="dxa" w:w="50"/>
              <w:left w:type="dxa" w:w="90"/>
              <w:bottom w:type="dxa" w:w="50"/>
              <w:right w:type="dxa" w:w="90"/>
            </w:tcMar>
            <w:vAlign w:val="center"/>
          </w:tcPr>
          <w:p>
            <w:pPr>
              <w:spacing w:after="20"/>
              <w:jc w:val="left"/>
            </w:pPr>
            <w:r>
              <w:rPr>
                <w:b/>
                <w:bCs/>
                <w:sz w:val="18"/>
                <w:szCs w:val="18"/>
              </w:rPr>
              <w:t xml:space="preserve">Mayor control de ruido</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0,009</w:t>
            </w:r>
          </w:p>
        </w:tc>
        <w:tc>
          <w:tcPr>
            <w:tcW w:type="dxa" w:w="2580"/>
            <w:tcMar>
              <w:top w:type="dxa" w:w="50"/>
              <w:left w:type="dxa" w:w="90"/>
              <w:bottom w:type="dxa" w:w="50"/>
              <w:right w:type="dxa" w:w="90"/>
            </w:tcMar>
            <w:vAlign w:val="center"/>
          </w:tcPr>
          <w:p>
            <w:pPr>
              <w:spacing w:after="20"/>
              <w:jc w:val="right"/>
            </w:pPr>
            <w:r>
              <w:rPr>
                <w:b w:val="false"/>
                <w:bCs w:val="false"/>
                <w:sz w:val="18"/>
                <w:szCs w:val="18"/>
              </w:rPr>
              <w:t xml:space="preserve">-0,004</w:t>
            </w:r>
          </w:p>
        </w:tc>
      </w:tr>
    </w:tbl>
    <w:p>
      <w:pPr>
        <w:pStyle w:val="Heading2"/>
      </w:pPr>
      <w:r>
        <w:t xml:space="preserve">4.3 Familias de modelos y búsqueda de hiperparámetros</w:t>
      </w:r>
    </w:p>
    <w:p>
      <w:pPr>
        <w:spacing w:after="120" w:line="276"/>
      </w:pPr>
      <w:r>
        <w:t xml:space="preserve">Se compararon diez modelos de cuatro familias, con el mismo Pipeline, los mismos pliegues y la misma métrica (MAE), usando búsqueda en rejilla (GridSearchCV) sobre cada pliegue de la validación cruzada del entrenamiento.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200"/>
        <w:gridCol w:w="3200"/>
        <w:gridCol w:w="3960"/>
      </w:tblGrid>
      <w:tr>
        <w:trPr>
          <w:cantSplit/>
          <w:tblHeader/>
        </w:trPr>
        <w:tc>
          <w:tcPr>
            <w:tcW w:type="dxa" w:w="2200"/>
            <w:shd w:fill="E4EEEB" w:color="auto" w:val="clear"/>
            <w:tcMar>
              <w:top w:type="dxa" w:w="50"/>
              <w:left w:type="dxa" w:w="90"/>
              <w:bottom w:type="dxa" w:w="50"/>
              <w:right w:type="dxa" w:w="90"/>
            </w:tcMar>
            <w:vAlign w:val="center"/>
          </w:tcPr>
          <w:p>
            <w:pPr>
              <w:spacing w:after="20"/>
              <w:jc w:val="left"/>
            </w:pPr>
            <w:r>
              <w:rPr>
                <w:b/>
                <w:bCs/>
                <w:sz w:val="18"/>
                <w:szCs w:val="18"/>
              </w:rPr>
              <w:t xml:space="preserve">Familia</w:t>
            </w:r>
          </w:p>
        </w:tc>
        <w:tc>
          <w:tcPr>
            <w:tcW w:type="dxa" w:w="32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3960"/>
            <w:shd w:fill="E4EEEB" w:color="auto" w:val="clear"/>
            <w:tcMar>
              <w:top w:type="dxa" w:w="50"/>
              <w:left w:type="dxa" w:w="90"/>
              <w:bottom w:type="dxa" w:w="50"/>
              <w:right w:type="dxa" w:w="90"/>
            </w:tcMar>
            <w:vAlign w:val="center"/>
          </w:tcPr>
          <w:p>
            <w:pPr>
              <w:spacing w:after="20"/>
              <w:jc w:val="left"/>
            </w:pPr>
            <w:r>
              <w:rPr>
                <w:b/>
                <w:bCs/>
                <w:sz w:val="18"/>
                <w:szCs w:val="18"/>
              </w:rPr>
              <w:t xml:space="preserve">Hiperparámetros explorados</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w:t>
            </w:r>
          </w:p>
        </w:tc>
        <w:tc>
          <w:tcPr>
            <w:tcW w:type="dxa" w:w="3200"/>
            <w:tcMar>
              <w:top w:type="dxa" w:w="50"/>
              <w:left w:type="dxa" w:w="90"/>
              <w:bottom w:type="dxa" w:w="50"/>
              <w:right w:type="dxa" w:w="90"/>
            </w:tcMar>
            <w:vAlign w:val="center"/>
          </w:tcPr>
          <w:p>
            <w:pPr>
              <w:spacing w:after="20"/>
              <w:jc w:val="left"/>
            </w:pPr>
            <w:r>
              <w:rPr>
                <w:sz w:val="18"/>
                <w:szCs w:val="18"/>
              </w:rPr>
              <w:t xml:space="preserve">Regresión lineal, común y por especie</w:t>
            </w:r>
          </w:p>
        </w:tc>
        <w:tc>
          <w:tcPr>
            <w:tcW w:type="dxa" w:w="3960"/>
            <w:tcMar>
              <w:top w:type="dxa" w:w="50"/>
              <w:left w:type="dxa" w:w="90"/>
              <w:bottom w:type="dxa" w:w="50"/>
              <w:right w:type="dxa" w:w="90"/>
            </w:tcMar>
            <w:vAlign w:val="center"/>
          </w:tcPr>
          <w:p>
            <w:pPr>
              <w:spacing w:after="20"/>
              <w:jc w:val="left"/>
            </w:pPr>
            <w:r>
              <w:rPr>
                <w:sz w:val="18"/>
                <w:szCs w:val="18"/>
              </w:rPr>
              <w:t xml:space="preserve">Sin hiperparámetros (solo ponderación)</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 regularizada</w:t>
            </w:r>
          </w:p>
        </w:tc>
        <w:tc>
          <w:tcPr>
            <w:tcW w:type="dxa" w:w="3200"/>
            <w:tcMar>
              <w:top w:type="dxa" w:w="50"/>
              <w:left w:type="dxa" w:w="90"/>
              <w:bottom w:type="dxa" w:w="50"/>
              <w:right w:type="dxa" w:w="90"/>
            </w:tcMar>
            <w:vAlign w:val="center"/>
          </w:tcPr>
          <w:p>
            <w:pPr>
              <w:spacing w:after="20"/>
              <w:jc w:val="left"/>
            </w:pPr>
            <w:r>
              <w:rPr>
                <w:sz w:val="18"/>
                <w:szCs w:val="18"/>
              </w:rPr>
              <w:t xml:space="preserve">Ridge, común y por especie</w:t>
            </w:r>
          </w:p>
        </w:tc>
        <w:tc>
          <w:tcPr>
            <w:tcW w:type="dxa" w:w="3960"/>
            <w:tcMar>
              <w:top w:type="dxa" w:w="50"/>
              <w:left w:type="dxa" w:w="90"/>
              <w:bottom w:type="dxa" w:w="50"/>
              <w:right w:type="dxa" w:w="90"/>
            </w:tcMar>
            <w:vAlign w:val="center"/>
          </w:tcPr>
          <w:p>
            <w:pPr>
              <w:spacing w:after="20"/>
              <w:jc w:val="left"/>
            </w:pPr>
            <w:r>
              <w:rPr>
                <w:sz w:val="18"/>
                <w:szCs w:val="18"/>
              </w:rPr>
              <w:t xml:space="preserve">alpha ∈ {0,1; 1; 10; 100; 1.000; 10.000}</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Lineal regularizada</w:t>
            </w:r>
          </w:p>
        </w:tc>
        <w:tc>
          <w:tcPr>
            <w:tcW w:type="dxa" w:w="3200"/>
            <w:tcMar>
              <w:top w:type="dxa" w:w="50"/>
              <w:left w:type="dxa" w:w="90"/>
              <w:bottom w:type="dxa" w:w="50"/>
              <w:right w:type="dxa" w:w="90"/>
            </w:tcMar>
            <w:vAlign w:val="center"/>
          </w:tcPr>
          <w:p>
            <w:pPr>
              <w:spacing w:after="20"/>
              <w:jc w:val="left"/>
            </w:pPr>
            <w:r>
              <w:rPr>
                <w:sz w:val="18"/>
                <w:szCs w:val="18"/>
              </w:rPr>
              <w:t xml:space="preserve">Elastic Net (combina Lasso y Ridge), común y por especie</w:t>
            </w:r>
          </w:p>
        </w:tc>
        <w:tc>
          <w:tcPr>
            <w:tcW w:type="dxa" w:w="3960"/>
            <w:tcMar>
              <w:top w:type="dxa" w:w="50"/>
              <w:left w:type="dxa" w:w="90"/>
              <w:bottom w:type="dxa" w:w="50"/>
              <w:right w:type="dxa" w:w="90"/>
            </w:tcMar>
            <w:vAlign w:val="center"/>
          </w:tcPr>
          <w:p>
            <w:pPr>
              <w:spacing w:after="20"/>
              <w:jc w:val="left"/>
            </w:pPr>
            <w:r>
              <w:rPr>
                <w:sz w:val="18"/>
                <w:szCs w:val="18"/>
              </w:rPr>
              <w:t xml:space="preserve">alpha ∈ {0,001; 0,01; 0,1; 1}; l1_ratio ∈ {0,1; 0,5; 0,9; 1,0 (Lasso)}</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Vecinos</w:t>
            </w:r>
          </w:p>
        </w:tc>
        <w:tc>
          <w:tcPr>
            <w:tcW w:type="dxa" w:w="3200"/>
            <w:tcMar>
              <w:top w:type="dxa" w:w="50"/>
              <w:left w:type="dxa" w:w="90"/>
              <w:bottom w:type="dxa" w:w="50"/>
              <w:right w:type="dxa" w:w="90"/>
            </w:tcMar>
            <w:vAlign w:val="center"/>
          </w:tcPr>
          <w:p>
            <w:pPr>
              <w:spacing w:after="20"/>
              <w:jc w:val="left"/>
            </w:pPr>
            <w:r>
              <w:rPr>
                <w:sz w:val="18"/>
                <w:szCs w:val="18"/>
              </w:rPr>
              <w:t xml:space="preserve">K vecinos más cercanos</w:t>
            </w:r>
          </w:p>
        </w:tc>
        <w:tc>
          <w:tcPr>
            <w:tcW w:type="dxa" w:w="3960"/>
            <w:tcMar>
              <w:top w:type="dxa" w:w="50"/>
              <w:left w:type="dxa" w:w="90"/>
              <w:bottom w:type="dxa" w:w="50"/>
              <w:right w:type="dxa" w:w="90"/>
            </w:tcMar>
            <w:vAlign w:val="center"/>
          </w:tcPr>
          <w:p>
            <w:pPr>
              <w:spacing w:after="20"/>
              <w:jc w:val="left"/>
            </w:pPr>
            <w:r>
              <w:rPr>
                <w:sz w:val="18"/>
                <w:szCs w:val="18"/>
              </w:rPr>
              <w:t xml:space="preserve">k ∈ {3; 5; 8; 12; 20; 30}; peso uniforme o por distancia; distancia L1 o L2</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Agregación (bagging)</w:t>
            </w:r>
          </w:p>
        </w:tc>
        <w:tc>
          <w:tcPr>
            <w:tcW w:type="dxa" w:w="3200"/>
            <w:tcMar>
              <w:top w:type="dxa" w:w="50"/>
              <w:left w:type="dxa" w:w="90"/>
              <w:bottom w:type="dxa" w:w="50"/>
              <w:right w:type="dxa" w:w="90"/>
            </w:tcMar>
            <w:vAlign w:val="center"/>
          </w:tcPr>
          <w:p>
            <w:pPr>
              <w:spacing w:after="20"/>
              <w:jc w:val="left"/>
            </w:pPr>
            <w:r>
              <w:rPr>
                <w:sz w:val="18"/>
                <w:szCs w:val="18"/>
              </w:rPr>
              <w:t xml:space="preserve">Bagging de árboles y Random Forest</w:t>
            </w:r>
          </w:p>
        </w:tc>
        <w:tc>
          <w:tcPr>
            <w:tcW w:type="dxa" w:w="3960"/>
            <w:tcMar>
              <w:top w:type="dxa" w:w="50"/>
              <w:left w:type="dxa" w:w="90"/>
              <w:bottom w:type="dxa" w:w="50"/>
              <w:right w:type="dxa" w:w="90"/>
            </w:tcMar>
            <w:vAlign w:val="center"/>
          </w:tcPr>
          <w:p>
            <w:pPr>
              <w:spacing w:after="20"/>
              <w:jc w:val="left"/>
            </w:pPr>
            <w:r>
              <w:rPr>
                <w:sz w:val="18"/>
                <w:szCs w:val="18"/>
              </w:rPr>
              <w:t xml:space="preserve">profundidad ∈ {2; 3; 5; 8; sin límite}; hojas mínimas ∈ {3; 8}; fracción de datos o variables</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Refuerzo (boosting)</w:t>
            </w:r>
          </w:p>
        </w:tc>
        <w:tc>
          <w:tcPr>
            <w:tcW w:type="dxa" w:w="3200"/>
            <w:tcMar>
              <w:top w:type="dxa" w:w="50"/>
              <w:left w:type="dxa" w:w="90"/>
              <w:bottom w:type="dxa" w:w="50"/>
              <w:right w:type="dxa" w:w="90"/>
            </w:tcMar>
            <w:vAlign w:val="center"/>
          </w:tcPr>
          <w:p>
            <w:pPr>
              <w:spacing w:after="20"/>
              <w:jc w:val="left"/>
            </w:pPr>
            <w:r>
              <w:rPr>
                <w:sz w:val="18"/>
                <w:szCs w:val="18"/>
              </w:rPr>
              <w:t xml:space="preserve">Gradient Boosting</w:t>
            </w:r>
          </w:p>
        </w:tc>
        <w:tc>
          <w:tcPr>
            <w:tcW w:type="dxa" w:w="3960"/>
            <w:tcMar>
              <w:top w:type="dxa" w:w="50"/>
              <w:left w:type="dxa" w:w="90"/>
              <w:bottom w:type="dxa" w:w="50"/>
              <w:right w:type="dxa" w:w="90"/>
            </w:tcMar>
            <w:vAlign w:val="center"/>
          </w:tcPr>
          <w:p>
            <w:pPr>
              <w:spacing w:after="20"/>
              <w:jc w:val="left"/>
            </w:pPr>
            <w:r>
              <w:rPr>
                <w:sz w:val="18"/>
                <w:szCs w:val="18"/>
              </w:rPr>
              <w:t xml:space="preserve">iteraciones ∈ {50; 100; 200; 400}; tasa ∈ {0,03; 0,1}; profundidad ∈ {1; 2; 3}; hojas ∈ {3; 8}</w:t>
            </w:r>
          </w:p>
        </w:tc>
      </w:tr>
      <w:tr>
        <w:trPr>
          <w:cantSplit/>
        </w:trPr>
        <w:tc>
          <w:tcPr>
            <w:tcW w:type="dxa" w:w="2200"/>
            <w:tcMar>
              <w:top w:type="dxa" w:w="50"/>
              <w:left w:type="dxa" w:w="90"/>
              <w:bottom w:type="dxa" w:w="50"/>
              <w:right w:type="dxa" w:w="90"/>
            </w:tcMar>
            <w:vAlign w:val="center"/>
          </w:tcPr>
          <w:p>
            <w:pPr>
              <w:spacing w:after="20"/>
              <w:jc w:val="left"/>
            </w:pPr>
            <w:r>
              <w:rPr>
                <w:sz w:val="18"/>
                <w:szCs w:val="18"/>
              </w:rPr>
              <w:t xml:space="preserve">Todos (menos K vecinos)</w:t>
            </w:r>
          </w:p>
        </w:tc>
        <w:tc>
          <w:tcPr>
            <w:tcW w:type="dxa" w:w="3200"/>
            <w:tcMar>
              <w:top w:type="dxa" w:w="50"/>
              <w:left w:type="dxa" w:w="90"/>
              <w:bottom w:type="dxa" w:w="50"/>
              <w:right w:type="dxa" w:w="90"/>
            </w:tcMar>
            <w:vAlign w:val="center"/>
          </w:tcPr>
          <w:p>
            <w:pPr>
              <w:spacing w:after="20"/>
              <w:jc w:val="left"/>
            </w:pPr>
            <w:r>
              <w:rPr>
                <w:sz w:val="18"/>
                <w:szCs w:val="18"/>
              </w:rPr>
              <w:t xml:space="preserve">Ponderación por clase</w:t>
            </w:r>
          </w:p>
        </w:tc>
        <w:tc>
          <w:tcPr>
            <w:tcW w:type="dxa" w:w="3960"/>
            <w:tcMar>
              <w:top w:type="dxa" w:w="50"/>
              <w:left w:type="dxa" w:w="90"/>
              <w:bottom w:type="dxa" w:w="50"/>
              <w:right w:type="dxa" w:w="90"/>
            </w:tcMar>
            <w:vAlign w:val="center"/>
          </w:tcPr>
          <w:p>
            <w:pPr>
              <w:spacing w:after="20"/>
              <w:jc w:val="left"/>
            </w:pPr>
            <w:r>
              <w:rPr>
                <w:sz w:val="18"/>
                <w:szCs w:val="18"/>
              </w:rPr>
              <w:t xml:space="preserve">{sí, no}</w:t>
            </w:r>
          </w:p>
        </w:tc>
      </w:tr>
    </w:tbl>
    <w:p>
      <w:pPr>
        <w:pStyle w:val="Heading2"/>
      </w:pPr>
      <w:r>
        <w:t xml:space="preserve">4.4 Criterio de selección declarado antes de ejecutar</w:t>
      </w:r>
    </w:p>
    <w:p>
      <w:pPr>
        <w:pStyle w:val="ListParagraph"/>
        <w:numPr>
          <w:ilvl w:val="0"/>
          <w:numId w:val="3"/>
        </w:numPr>
        <w:spacing w:after="60" w:line="264"/>
      </w:pPr>
      <w:r>
        <w:t xml:space="preserve">El mejor ajuste de cada modelo se define por el menor MAE medio de validación cruzada.</w:t>
      </w:r>
    </w:p>
    <w:p>
      <w:pPr>
        <w:pStyle w:val="ListParagraph"/>
        <w:numPr>
          <w:ilvl w:val="0"/>
          <w:numId w:val="3"/>
        </w:numPr>
        <w:spacing w:after="60" w:line="264"/>
      </w:pPr>
      <w:r>
        <w:t xml:space="preserve">Son elegibles los modelos cuyo MAE medio está a menos de un error estándar del mejor.</w:t>
      </w:r>
    </w:p>
    <w:p>
      <w:pPr>
        <w:pStyle w:val="ListParagraph"/>
        <w:numPr>
          <w:ilvl w:val="0"/>
          <w:numId w:val="3"/>
        </w:numPr>
        <w:spacing w:after="60" w:line="264"/>
      </w:pPr>
      <w:r>
        <w:t xml:space="preserve">Entre los elegibles se escoge el de menor complejidad: lineales por especie, luego lineales comunes, K vecinos, bagging y bosque, y por último Gradient Boosting. El simulador necesita efectos propios por especie y una respuesta suave.</w:t>
      </w:r>
    </w:p>
    <w:p>
      <w:pPr>
        <w:pStyle w:val="ListParagraph"/>
        <w:numPr>
          <w:ilvl w:val="0"/>
          <w:numId w:val="3"/>
        </w:numPr>
        <w:spacing w:after="60" w:line="264"/>
      </w:pPr>
      <w:r>
        <w:t xml:space="preserve">El modelo elegido debe superar las dos líneas base en validación cruzada. Si no lo hace, se declara que no agrega valor.</w:t>
      </w:r>
    </w:p>
    <w:p>
      <w:pPr>
        <w:spacing w:after="120" w:line="276"/>
      </w:pPr>
      <w:r>
        <w:t xml:space="preserve">El examen no interviene en ninguno de estos pasos. Se declaró además, antes de consultarlo, que se reportaría de forma informativa el modelo de menor MAE de validación si difería del elegido.</w:t>
      </w:r>
    </w:p>
    <w:p>
      <w:pPr>
        <w:pStyle w:val="Heading2"/>
      </w:pPr>
      <w:r>
        <w:t xml:space="preserve">4.5 Resultados de validación cruzada</w:t>
      </w:r>
    </w:p>
    <w:p>
      <w:pPr>
        <w:keepNext/>
        <w:spacing w:after="60" w:before="160"/>
      </w:pPr>
      <w:r>
        <w:rPr>
          <w:b/>
          <w:bCs/>
          <w:color w:val="13201C"/>
          <w:sz w:val="19"/>
          <w:szCs w:val="19"/>
        </w:rPr>
        <w:t xml:space="preserve">Tabla 5. Mercado: MAE de validación cruzada (9 pliegues; media ± desviación), R² y mejores hiperparámetros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500"/>
        <w:gridCol w:w="1250"/>
        <w:gridCol w:w="1250"/>
        <w:gridCol w:w="1000"/>
        <w:gridCol w:w="3360"/>
      </w:tblGrid>
      <w:tr>
        <w:trPr>
          <w:cantSplit/>
          <w:tblHeader/>
        </w:trPr>
        <w:tc>
          <w:tcPr>
            <w:tcW w:type="dxa" w:w="25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MAE (pp)</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R² fuera de pliegue</w:t>
            </w:r>
          </w:p>
        </w:tc>
        <w:tc>
          <w:tcPr>
            <w:tcW w:type="dxa" w:w="1000"/>
            <w:shd w:fill="E4EEEB" w:color="auto" w:val="clear"/>
            <w:tcMar>
              <w:top w:type="dxa" w:w="50"/>
              <w:left w:type="dxa" w:w="90"/>
              <w:bottom w:type="dxa" w:w="50"/>
              <w:right w:type="dxa" w:w="90"/>
            </w:tcMar>
            <w:vAlign w:val="center"/>
          </w:tcPr>
          <w:p>
            <w:pPr>
              <w:spacing w:after="20"/>
              <w:jc w:val="right"/>
            </w:pPr>
            <w:r>
              <w:rPr>
                <w:b/>
                <w:bCs/>
                <w:sz w:val="18"/>
                <w:szCs w:val="18"/>
              </w:rPr>
              <w:t xml:space="preserve">R² entren.</w:t>
            </w:r>
          </w:p>
        </w:tc>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Hiperparámetros</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Regresión lineal por especie</w:t>
            </w:r>
          </w:p>
        </w:tc>
        <w:tc>
          <w:tcPr>
            <w:tcW w:type="dxa" w:w="1250"/>
            <w:tcMar>
              <w:top w:type="dxa" w:w="50"/>
              <w:left w:type="dxa" w:w="90"/>
              <w:bottom w:type="dxa" w:w="50"/>
              <w:right w:type="dxa" w:w="90"/>
            </w:tcMar>
            <w:vAlign w:val="center"/>
          </w:tcPr>
          <w:p>
            <w:pPr>
              <w:spacing w:after="20"/>
              <w:jc w:val="right"/>
            </w:pPr>
            <w:r>
              <w:rPr>
                <w:sz w:val="18"/>
                <w:szCs w:val="18"/>
              </w:rPr>
              <w:t xml:space="preserve">14,9 ± 8,9</w:t>
            </w:r>
          </w:p>
        </w:tc>
        <w:tc>
          <w:tcPr>
            <w:tcW w:type="dxa" w:w="1250"/>
            <w:tcMar>
              <w:top w:type="dxa" w:w="50"/>
              <w:left w:type="dxa" w:w="90"/>
              <w:bottom w:type="dxa" w:w="50"/>
              <w:right w:type="dxa" w:w="90"/>
            </w:tcMar>
            <w:vAlign w:val="center"/>
          </w:tcPr>
          <w:p>
            <w:pPr>
              <w:spacing w:after="20"/>
              <w:jc w:val="right"/>
            </w:pPr>
            <w:r>
              <w:rPr>
                <w:sz w:val="18"/>
                <w:szCs w:val="18"/>
              </w:rPr>
              <w:t xml:space="preserve">-11,92</w:t>
            </w:r>
          </w:p>
        </w:tc>
        <w:tc>
          <w:tcPr>
            <w:tcW w:type="dxa" w:w="1000"/>
            <w:tcMar>
              <w:top w:type="dxa" w:w="50"/>
              <w:left w:type="dxa" w:w="90"/>
              <w:bottom w:type="dxa" w:w="50"/>
              <w:right w:type="dxa" w:w="90"/>
            </w:tcMar>
            <w:vAlign w:val="center"/>
          </w:tcPr>
          <w:p>
            <w:pPr>
              <w:spacing w:after="20"/>
              <w:jc w:val="right"/>
            </w:pPr>
            <w:r>
              <w:rPr>
                <w:sz w:val="18"/>
                <w:szCs w:val="18"/>
              </w:rPr>
              <w:t xml:space="preserve">0,85</w:t>
            </w:r>
          </w:p>
        </w:tc>
        <w:tc>
          <w:tcPr>
            <w:tcW w:type="dxa" w:w="3360"/>
            <w:tcMar>
              <w:top w:type="dxa" w:w="50"/>
              <w:left w:type="dxa" w:w="90"/>
              <w:bottom w:type="dxa" w:w="50"/>
              <w:right w:type="dxa" w:w="90"/>
            </w:tcMar>
            <w:vAlign w:val="center"/>
          </w:tcPr>
          <w:p>
            <w:pPr>
              <w:spacing w:after="20"/>
              <w:jc w:val="left"/>
            </w:pP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Ridge por especie</w:t>
            </w:r>
          </w:p>
        </w:tc>
        <w:tc>
          <w:tcPr>
            <w:tcW w:type="dxa" w:w="1250"/>
            <w:tcMar>
              <w:top w:type="dxa" w:w="50"/>
              <w:left w:type="dxa" w:w="90"/>
              <w:bottom w:type="dxa" w:w="50"/>
              <w:right w:type="dxa" w:w="90"/>
            </w:tcMar>
            <w:vAlign w:val="center"/>
          </w:tcPr>
          <w:p>
            <w:pPr>
              <w:spacing w:after="20"/>
              <w:jc w:val="right"/>
            </w:pPr>
            <w:r>
              <w:rPr>
                <w:sz w:val="18"/>
                <w:szCs w:val="18"/>
              </w:rPr>
              <w:t xml:space="preserve">4,9 ± 1,3</w:t>
            </w:r>
          </w:p>
        </w:tc>
        <w:tc>
          <w:tcPr>
            <w:tcW w:type="dxa" w:w="1250"/>
            <w:tcMar>
              <w:top w:type="dxa" w:w="50"/>
              <w:left w:type="dxa" w:w="90"/>
              <w:bottom w:type="dxa" w:w="50"/>
              <w:right w:type="dxa" w:w="90"/>
            </w:tcMar>
            <w:vAlign w:val="center"/>
          </w:tcPr>
          <w:p>
            <w:pPr>
              <w:spacing w:after="20"/>
              <w:jc w:val="right"/>
            </w:pPr>
            <w:r>
              <w:rPr>
                <w:sz w:val="18"/>
                <w:szCs w:val="18"/>
              </w:rPr>
              <w:t xml:space="preserve">-0,11</w:t>
            </w:r>
          </w:p>
        </w:tc>
        <w:tc>
          <w:tcPr>
            <w:tcW w:type="dxa" w:w="1000"/>
            <w:tcMar>
              <w:top w:type="dxa" w:w="50"/>
              <w:left w:type="dxa" w:w="90"/>
              <w:bottom w:type="dxa" w:w="50"/>
              <w:right w:type="dxa" w:w="90"/>
            </w:tcMar>
            <w:vAlign w:val="center"/>
          </w:tcPr>
          <w:p>
            <w:pPr>
              <w:spacing w:after="20"/>
              <w:jc w:val="right"/>
            </w:pPr>
            <w:r>
              <w:rPr>
                <w:sz w:val="18"/>
                <w:szCs w:val="18"/>
              </w:rPr>
              <w:t xml:space="preserve">0,36</w:t>
            </w:r>
          </w:p>
        </w:tc>
        <w:tc>
          <w:tcPr>
            <w:tcW w:type="dxa" w:w="3360"/>
            <w:tcMar>
              <w:top w:type="dxa" w:w="50"/>
              <w:left w:type="dxa" w:w="90"/>
              <w:bottom w:type="dxa" w:w="50"/>
              <w:right w:type="dxa" w:w="90"/>
            </w:tcMar>
            <w:vAlign w:val="center"/>
          </w:tcPr>
          <w:p>
            <w:pPr>
              <w:spacing w:after="20"/>
              <w:jc w:val="left"/>
            </w:pPr>
            <w:r>
              <w:rPr>
                <w:sz w:val="18"/>
                <w:szCs w:val="18"/>
              </w:rPr>
              <w:t xml:space="preserve">alpha = 1.000</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Elastic Net por especie</w:t>
            </w:r>
          </w:p>
        </w:tc>
        <w:tc>
          <w:tcPr>
            <w:tcW w:type="dxa" w:w="1250"/>
            <w:tcMar>
              <w:top w:type="dxa" w:w="50"/>
              <w:left w:type="dxa" w:w="90"/>
              <w:bottom w:type="dxa" w:w="50"/>
              <w:right w:type="dxa" w:w="90"/>
            </w:tcMar>
            <w:vAlign w:val="center"/>
          </w:tcPr>
          <w:p>
            <w:pPr>
              <w:spacing w:after="20"/>
              <w:jc w:val="right"/>
            </w:pPr>
            <w:r>
              <w:rPr>
                <w:sz w:val="18"/>
                <w:szCs w:val="18"/>
              </w:rPr>
              <w:t xml:space="preserve">5,0 ± 1,5</w:t>
            </w:r>
          </w:p>
        </w:tc>
        <w:tc>
          <w:tcPr>
            <w:tcW w:type="dxa" w:w="1250"/>
            <w:tcMar>
              <w:top w:type="dxa" w:w="50"/>
              <w:left w:type="dxa" w:w="90"/>
              <w:bottom w:type="dxa" w:w="50"/>
              <w:right w:type="dxa" w:w="90"/>
            </w:tcMar>
            <w:vAlign w:val="center"/>
          </w:tcPr>
          <w:p>
            <w:pPr>
              <w:spacing w:after="20"/>
              <w:jc w:val="right"/>
            </w:pPr>
            <w:r>
              <w:rPr>
                <w:sz w:val="18"/>
                <w:szCs w:val="18"/>
              </w:rPr>
              <w:t xml:space="preserve">-0,15</w:t>
            </w:r>
          </w:p>
        </w:tc>
        <w:tc>
          <w:tcPr>
            <w:tcW w:type="dxa" w:w="1000"/>
            <w:tcMar>
              <w:top w:type="dxa" w:w="50"/>
              <w:left w:type="dxa" w:w="90"/>
              <w:bottom w:type="dxa" w:w="50"/>
              <w:right w:type="dxa" w:w="90"/>
            </w:tcMar>
            <w:vAlign w:val="center"/>
          </w:tcPr>
          <w:p>
            <w:pPr>
              <w:spacing w:after="20"/>
              <w:jc w:val="right"/>
            </w:pPr>
            <w:r>
              <w:rPr>
                <w:sz w:val="18"/>
                <w:szCs w:val="18"/>
              </w:rPr>
              <w:t xml:space="preserve">0,34</w:t>
            </w:r>
          </w:p>
        </w:tc>
        <w:tc>
          <w:tcPr>
            <w:tcW w:type="dxa" w:w="3360"/>
            <w:tcMar>
              <w:top w:type="dxa" w:w="50"/>
              <w:left w:type="dxa" w:w="90"/>
              <w:bottom w:type="dxa" w:w="50"/>
              <w:right w:type="dxa" w:w="90"/>
            </w:tcMar>
            <w:vAlign w:val="center"/>
          </w:tcPr>
          <w:p>
            <w:pPr>
              <w:spacing w:after="20"/>
              <w:jc w:val="left"/>
            </w:pPr>
            <w:r>
              <w:rPr>
                <w:sz w:val="18"/>
                <w:szCs w:val="18"/>
              </w:rPr>
              <w:t xml:space="preserve">alpha = 0,10; l1 ratio = 0,50</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Regresión lineal</w:t>
            </w:r>
          </w:p>
        </w:tc>
        <w:tc>
          <w:tcPr>
            <w:tcW w:type="dxa" w:w="1250"/>
            <w:tcMar>
              <w:top w:type="dxa" w:w="50"/>
              <w:left w:type="dxa" w:w="90"/>
              <w:bottom w:type="dxa" w:w="50"/>
              <w:right w:type="dxa" w:w="90"/>
            </w:tcMar>
            <w:vAlign w:val="center"/>
          </w:tcPr>
          <w:p>
            <w:pPr>
              <w:spacing w:after="20"/>
              <w:jc w:val="right"/>
            </w:pPr>
            <w:r>
              <w:rPr>
                <w:sz w:val="18"/>
                <w:szCs w:val="18"/>
              </w:rPr>
              <w:t xml:space="preserve">13,0 ± 9,2</w:t>
            </w:r>
          </w:p>
        </w:tc>
        <w:tc>
          <w:tcPr>
            <w:tcW w:type="dxa" w:w="1250"/>
            <w:tcMar>
              <w:top w:type="dxa" w:w="50"/>
              <w:left w:type="dxa" w:w="90"/>
              <w:bottom w:type="dxa" w:w="50"/>
              <w:right w:type="dxa" w:w="90"/>
            </w:tcMar>
            <w:vAlign w:val="center"/>
          </w:tcPr>
          <w:p>
            <w:pPr>
              <w:spacing w:after="20"/>
              <w:jc w:val="right"/>
            </w:pPr>
            <w:r>
              <w:rPr>
                <w:sz w:val="18"/>
                <w:szCs w:val="18"/>
              </w:rPr>
              <w:t xml:space="preserve">-6,36</w:t>
            </w:r>
          </w:p>
        </w:tc>
        <w:tc>
          <w:tcPr>
            <w:tcW w:type="dxa" w:w="1000"/>
            <w:tcMar>
              <w:top w:type="dxa" w:w="50"/>
              <w:left w:type="dxa" w:w="90"/>
              <w:bottom w:type="dxa" w:w="50"/>
              <w:right w:type="dxa" w:w="90"/>
            </w:tcMar>
            <w:vAlign w:val="center"/>
          </w:tcPr>
          <w:p>
            <w:pPr>
              <w:spacing w:after="20"/>
              <w:jc w:val="right"/>
            </w:pPr>
            <w:r>
              <w:rPr>
                <w:sz w:val="18"/>
                <w:szCs w:val="18"/>
              </w:rPr>
              <w:t xml:space="preserve">0,64</w:t>
            </w:r>
          </w:p>
        </w:tc>
        <w:tc>
          <w:tcPr>
            <w:tcW w:type="dxa" w:w="3360"/>
            <w:tcMar>
              <w:top w:type="dxa" w:w="50"/>
              <w:left w:type="dxa" w:w="90"/>
              <w:bottom w:type="dxa" w:w="50"/>
              <w:right w:type="dxa" w:w="90"/>
            </w:tcMar>
            <w:vAlign w:val="center"/>
          </w:tcPr>
          <w:p>
            <w:pPr>
              <w:spacing w:after="20"/>
              <w:jc w:val="left"/>
            </w:pP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Ridge común</w:t>
            </w:r>
          </w:p>
        </w:tc>
        <w:tc>
          <w:tcPr>
            <w:tcW w:type="dxa" w:w="1250"/>
            <w:tcMar>
              <w:top w:type="dxa" w:w="50"/>
              <w:left w:type="dxa" w:w="90"/>
              <w:bottom w:type="dxa" w:w="50"/>
              <w:right w:type="dxa" w:w="90"/>
            </w:tcMar>
            <w:vAlign w:val="center"/>
          </w:tcPr>
          <w:p>
            <w:pPr>
              <w:spacing w:after="20"/>
              <w:jc w:val="right"/>
            </w:pPr>
            <w:r>
              <w:rPr>
                <w:sz w:val="18"/>
                <w:szCs w:val="18"/>
              </w:rPr>
              <w:t xml:space="preserve">4,6 ± 2,1</w:t>
            </w:r>
          </w:p>
        </w:tc>
        <w:tc>
          <w:tcPr>
            <w:tcW w:type="dxa" w:w="1250"/>
            <w:tcMar>
              <w:top w:type="dxa" w:w="50"/>
              <w:left w:type="dxa" w:w="90"/>
              <w:bottom w:type="dxa" w:w="50"/>
              <w:right w:type="dxa" w:w="90"/>
            </w:tcMar>
            <w:vAlign w:val="center"/>
          </w:tcPr>
          <w:p>
            <w:pPr>
              <w:spacing w:after="20"/>
              <w:jc w:val="right"/>
            </w:pPr>
            <w:r>
              <w:rPr>
                <w:sz w:val="18"/>
                <w:szCs w:val="18"/>
              </w:rPr>
              <w:t xml:space="preserve">-0,15</w:t>
            </w:r>
          </w:p>
        </w:tc>
        <w:tc>
          <w:tcPr>
            <w:tcW w:type="dxa" w:w="1000"/>
            <w:tcMar>
              <w:top w:type="dxa" w:w="50"/>
              <w:left w:type="dxa" w:w="90"/>
              <w:bottom w:type="dxa" w:w="50"/>
              <w:right w:type="dxa" w:w="90"/>
            </w:tcMar>
            <w:vAlign w:val="center"/>
          </w:tcPr>
          <w:p>
            <w:pPr>
              <w:spacing w:after="20"/>
              <w:jc w:val="right"/>
            </w:pPr>
            <w:r>
              <w:rPr>
                <w:sz w:val="18"/>
                <w:szCs w:val="18"/>
              </w:rPr>
              <w:t xml:space="preserve">-0,03</w:t>
            </w:r>
          </w:p>
        </w:tc>
        <w:tc>
          <w:tcPr>
            <w:tcW w:type="dxa" w:w="3360"/>
            <w:tcMar>
              <w:top w:type="dxa" w:w="50"/>
              <w:left w:type="dxa" w:w="90"/>
              <w:bottom w:type="dxa" w:w="50"/>
              <w:right w:type="dxa" w:w="90"/>
            </w:tcMar>
            <w:vAlign w:val="center"/>
          </w:tcPr>
          <w:p>
            <w:pPr>
              <w:spacing w:after="20"/>
              <w:jc w:val="left"/>
            </w:pPr>
            <w:r>
              <w:rPr>
                <w:sz w:val="18"/>
                <w:szCs w:val="18"/>
              </w:rPr>
              <w:t xml:space="preserve">alpha = 1.000;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Elastic Net común</w:t>
            </w:r>
          </w:p>
        </w:tc>
        <w:tc>
          <w:tcPr>
            <w:tcW w:type="dxa" w:w="1250"/>
            <w:tcMar>
              <w:top w:type="dxa" w:w="50"/>
              <w:left w:type="dxa" w:w="90"/>
              <w:bottom w:type="dxa" w:w="50"/>
              <w:right w:type="dxa" w:w="90"/>
            </w:tcMar>
            <w:vAlign w:val="center"/>
          </w:tcPr>
          <w:p>
            <w:pPr>
              <w:spacing w:after="20"/>
              <w:jc w:val="right"/>
            </w:pPr>
            <w:r>
              <w:rPr>
                <w:sz w:val="18"/>
                <w:szCs w:val="18"/>
              </w:rPr>
              <w:t xml:space="preserve">4,6 ± 1,7</w:t>
            </w:r>
          </w:p>
        </w:tc>
        <w:tc>
          <w:tcPr>
            <w:tcW w:type="dxa" w:w="1250"/>
            <w:tcMar>
              <w:top w:type="dxa" w:w="50"/>
              <w:left w:type="dxa" w:w="90"/>
              <w:bottom w:type="dxa" w:w="50"/>
              <w:right w:type="dxa" w:w="90"/>
            </w:tcMar>
            <w:vAlign w:val="center"/>
          </w:tcPr>
          <w:p>
            <w:pPr>
              <w:spacing w:after="20"/>
              <w:jc w:val="right"/>
            </w:pPr>
            <w:r>
              <w:rPr>
                <w:sz w:val="18"/>
                <w:szCs w:val="18"/>
              </w:rPr>
              <w:t xml:space="preserve">-0,03</w:t>
            </w:r>
          </w:p>
        </w:tc>
        <w:tc>
          <w:tcPr>
            <w:tcW w:type="dxa" w:w="1000"/>
            <w:tcMar>
              <w:top w:type="dxa" w:w="50"/>
              <w:left w:type="dxa" w:w="90"/>
              <w:bottom w:type="dxa" w:w="50"/>
              <w:right w:type="dxa" w:w="90"/>
            </w:tcMar>
            <w:vAlign w:val="center"/>
          </w:tcPr>
          <w:p>
            <w:pPr>
              <w:spacing w:after="20"/>
              <w:jc w:val="right"/>
            </w:pPr>
            <w:r>
              <w:rPr>
                <w:sz w:val="18"/>
                <w:szCs w:val="18"/>
              </w:rPr>
              <w:t xml:space="preserve">0,00</w:t>
            </w:r>
          </w:p>
        </w:tc>
        <w:tc>
          <w:tcPr>
            <w:tcW w:type="dxa" w:w="3360"/>
            <w:tcMar>
              <w:top w:type="dxa" w:w="50"/>
              <w:left w:type="dxa" w:w="90"/>
              <w:bottom w:type="dxa" w:w="50"/>
              <w:right w:type="dxa" w:w="90"/>
            </w:tcMar>
            <w:vAlign w:val="center"/>
          </w:tcPr>
          <w:p>
            <w:pPr>
              <w:spacing w:after="20"/>
              <w:jc w:val="left"/>
            </w:pPr>
            <w:r>
              <w:rPr>
                <w:sz w:val="18"/>
                <w:szCs w:val="18"/>
              </w:rPr>
              <w:t xml:space="preserve">alpha = 0,10; l1 ratio = 0,50</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K vecinos más cercanos</w:t>
            </w:r>
          </w:p>
        </w:tc>
        <w:tc>
          <w:tcPr>
            <w:tcW w:type="dxa" w:w="1250"/>
            <w:tcMar>
              <w:top w:type="dxa" w:w="50"/>
              <w:left w:type="dxa" w:w="90"/>
              <w:bottom w:type="dxa" w:w="50"/>
              <w:right w:type="dxa" w:w="90"/>
            </w:tcMar>
            <w:vAlign w:val="center"/>
          </w:tcPr>
          <w:p>
            <w:pPr>
              <w:spacing w:after="20"/>
              <w:jc w:val="right"/>
            </w:pPr>
            <w:r>
              <w:rPr>
                <w:sz w:val="18"/>
                <w:szCs w:val="18"/>
              </w:rPr>
              <w:t xml:space="preserve">4,3 ± 1,3</w:t>
            </w:r>
          </w:p>
        </w:tc>
        <w:tc>
          <w:tcPr>
            <w:tcW w:type="dxa" w:w="1250"/>
            <w:tcMar>
              <w:top w:type="dxa" w:w="50"/>
              <w:left w:type="dxa" w:w="90"/>
              <w:bottom w:type="dxa" w:w="50"/>
              <w:right w:type="dxa" w:w="90"/>
            </w:tcMar>
            <w:vAlign w:val="center"/>
          </w:tcPr>
          <w:p>
            <w:pPr>
              <w:spacing w:after="20"/>
              <w:jc w:val="right"/>
            </w:pPr>
            <w:r>
              <w:rPr>
                <w:sz w:val="18"/>
                <w:szCs w:val="18"/>
              </w:rPr>
              <w:t xml:space="preserve">0,06</w:t>
            </w:r>
          </w:p>
        </w:tc>
        <w:tc>
          <w:tcPr>
            <w:tcW w:type="dxa" w:w="1000"/>
            <w:tcMar>
              <w:top w:type="dxa" w:w="50"/>
              <w:left w:type="dxa" w:w="90"/>
              <w:bottom w:type="dxa" w:w="50"/>
              <w:right w:type="dxa" w:w="90"/>
            </w:tcMar>
            <w:vAlign w:val="center"/>
          </w:tcPr>
          <w:p>
            <w:pPr>
              <w:spacing w:after="20"/>
              <w:jc w:val="right"/>
            </w:pPr>
            <w:r>
              <w:rPr>
                <w:sz w:val="18"/>
                <w:szCs w:val="18"/>
              </w:rPr>
              <w:t xml:space="preserve">0,77</w:t>
            </w:r>
          </w:p>
        </w:tc>
        <w:tc>
          <w:tcPr>
            <w:tcW w:type="dxa" w:w="3360"/>
            <w:tcMar>
              <w:top w:type="dxa" w:w="50"/>
              <w:left w:type="dxa" w:w="90"/>
              <w:bottom w:type="dxa" w:w="50"/>
              <w:right w:type="dxa" w:w="90"/>
            </w:tcMar>
            <w:vAlign w:val="center"/>
          </w:tcPr>
          <w:p>
            <w:pPr>
              <w:spacing w:after="20"/>
              <w:jc w:val="left"/>
            </w:pPr>
            <w:r>
              <w:rPr>
                <w:sz w:val="18"/>
                <w:szCs w:val="18"/>
              </w:rPr>
              <w:t xml:space="preserve">n neighbors = 12; p = 2; weights = uniform</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Bagging de árboles</w:t>
            </w:r>
          </w:p>
        </w:tc>
        <w:tc>
          <w:tcPr>
            <w:tcW w:type="dxa" w:w="1250"/>
            <w:tcMar>
              <w:top w:type="dxa" w:w="50"/>
              <w:left w:type="dxa" w:w="90"/>
              <w:bottom w:type="dxa" w:w="50"/>
              <w:right w:type="dxa" w:w="90"/>
            </w:tcMar>
            <w:vAlign w:val="center"/>
          </w:tcPr>
          <w:p>
            <w:pPr>
              <w:spacing w:after="20"/>
              <w:jc w:val="right"/>
            </w:pPr>
            <w:r>
              <w:rPr>
                <w:sz w:val="18"/>
                <w:szCs w:val="18"/>
              </w:rPr>
              <w:t xml:space="preserve">4,6 ± 1,3</w:t>
            </w:r>
          </w:p>
        </w:tc>
        <w:tc>
          <w:tcPr>
            <w:tcW w:type="dxa" w:w="1250"/>
            <w:tcMar>
              <w:top w:type="dxa" w:w="50"/>
              <w:left w:type="dxa" w:w="90"/>
              <w:bottom w:type="dxa" w:w="50"/>
              <w:right w:type="dxa" w:w="90"/>
            </w:tcMar>
            <w:vAlign w:val="center"/>
          </w:tcPr>
          <w:p>
            <w:pPr>
              <w:spacing w:after="20"/>
              <w:jc w:val="right"/>
            </w:pPr>
            <w:r>
              <w:rPr>
                <w:sz w:val="18"/>
                <w:szCs w:val="18"/>
              </w:rPr>
              <w:t xml:space="preserve">0,02</w:t>
            </w:r>
          </w:p>
        </w:tc>
        <w:tc>
          <w:tcPr>
            <w:tcW w:type="dxa" w:w="1000"/>
            <w:tcMar>
              <w:top w:type="dxa" w:w="50"/>
              <w:left w:type="dxa" w:w="90"/>
              <w:bottom w:type="dxa" w:w="50"/>
              <w:right w:type="dxa" w:w="90"/>
            </w:tcMar>
            <w:vAlign w:val="center"/>
          </w:tcPr>
          <w:p>
            <w:pPr>
              <w:spacing w:after="20"/>
              <w:jc w:val="right"/>
            </w:pPr>
            <w:r>
              <w:rPr>
                <w:sz w:val="18"/>
                <w:szCs w:val="18"/>
              </w:rPr>
              <w:t xml:space="preserve">0,73</w:t>
            </w:r>
          </w:p>
        </w:tc>
        <w:tc>
          <w:tcPr>
            <w:tcW w:type="dxa" w:w="3360"/>
            <w:tcMar>
              <w:top w:type="dxa" w:w="50"/>
              <w:left w:type="dxa" w:w="90"/>
              <w:bottom w:type="dxa" w:w="50"/>
              <w:right w:type="dxa" w:w="90"/>
            </w:tcMar>
            <w:vAlign w:val="center"/>
          </w:tcPr>
          <w:p>
            <w:pPr>
              <w:spacing w:after="20"/>
              <w:jc w:val="left"/>
            </w:pPr>
            <w:r>
              <w:rPr>
                <w:sz w:val="18"/>
                <w:szCs w:val="18"/>
              </w:rPr>
              <w:t xml:space="preserve">max depth = 5; min samples leaf = 8; max samples = 1</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Random Forest</w:t>
            </w:r>
          </w:p>
        </w:tc>
        <w:tc>
          <w:tcPr>
            <w:tcW w:type="dxa" w:w="1250"/>
            <w:tcMar>
              <w:top w:type="dxa" w:w="50"/>
              <w:left w:type="dxa" w:w="90"/>
              <w:bottom w:type="dxa" w:w="50"/>
              <w:right w:type="dxa" w:w="90"/>
            </w:tcMar>
            <w:vAlign w:val="center"/>
          </w:tcPr>
          <w:p>
            <w:pPr>
              <w:spacing w:after="20"/>
              <w:jc w:val="right"/>
            </w:pPr>
            <w:r>
              <w:rPr>
                <w:sz w:val="18"/>
                <w:szCs w:val="18"/>
              </w:rPr>
              <w:t xml:space="preserve">4,5 ± 1,6</w:t>
            </w:r>
          </w:p>
        </w:tc>
        <w:tc>
          <w:tcPr>
            <w:tcW w:type="dxa" w:w="1250"/>
            <w:tcMar>
              <w:top w:type="dxa" w:w="50"/>
              <w:left w:type="dxa" w:w="90"/>
              <w:bottom w:type="dxa" w:w="50"/>
              <w:right w:type="dxa" w:w="90"/>
            </w:tcMar>
            <w:vAlign w:val="center"/>
          </w:tcPr>
          <w:p>
            <w:pPr>
              <w:spacing w:after="20"/>
              <w:jc w:val="right"/>
            </w:pPr>
            <w:r>
              <w:rPr>
                <w:sz w:val="18"/>
                <w:szCs w:val="18"/>
              </w:rPr>
              <w:t xml:space="preserve">-0,03</w:t>
            </w:r>
          </w:p>
        </w:tc>
        <w:tc>
          <w:tcPr>
            <w:tcW w:type="dxa" w:w="1000"/>
            <w:tcMar>
              <w:top w:type="dxa" w:w="50"/>
              <w:left w:type="dxa" w:w="90"/>
              <w:bottom w:type="dxa" w:w="50"/>
              <w:right w:type="dxa" w:w="90"/>
            </w:tcMar>
            <w:vAlign w:val="center"/>
          </w:tcPr>
          <w:p>
            <w:pPr>
              <w:spacing w:after="20"/>
              <w:jc w:val="right"/>
            </w:pPr>
            <w:r>
              <w:rPr>
                <w:sz w:val="18"/>
                <w:szCs w:val="18"/>
              </w:rPr>
              <w:t xml:space="preserve">0,50</w:t>
            </w:r>
          </w:p>
        </w:tc>
        <w:tc>
          <w:tcPr>
            <w:tcW w:type="dxa" w:w="3360"/>
            <w:tcMar>
              <w:top w:type="dxa" w:w="50"/>
              <w:left w:type="dxa" w:w="90"/>
              <w:bottom w:type="dxa" w:w="50"/>
              <w:right w:type="dxa" w:w="90"/>
            </w:tcMar>
            <w:vAlign w:val="center"/>
          </w:tcPr>
          <w:p>
            <w:pPr>
              <w:spacing w:after="20"/>
              <w:jc w:val="left"/>
            </w:pPr>
            <w:r>
              <w:rPr>
                <w:sz w:val="18"/>
                <w:szCs w:val="18"/>
              </w:rPr>
              <w:t xml:space="preserve">max depth = 2; max features = 0,50; min samples leaf = 3;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Gradient Boosting</w:t>
            </w:r>
          </w:p>
        </w:tc>
        <w:tc>
          <w:tcPr>
            <w:tcW w:type="dxa" w:w="1250"/>
            <w:tcMar>
              <w:top w:type="dxa" w:w="50"/>
              <w:left w:type="dxa" w:w="90"/>
              <w:bottom w:type="dxa" w:w="50"/>
              <w:right w:type="dxa" w:w="90"/>
            </w:tcMar>
            <w:vAlign w:val="center"/>
          </w:tcPr>
          <w:p>
            <w:pPr>
              <w:spacing w:after="20"/>
              <w:jc w:val="right"/>
            </w:pPr>
            <w:r>
              <w:rPr>
                <w:sz w:val="18"/>
                <w:szCs w:val="18"/>
              </w:rPr>
              <w:t xml:space="preserve">4,2 ± 1,5</w:t>
            </w:r>
          </w:p>
        </w:tc>
        <w:tc>
          <w:tcPr>
            <w:tcW w:type="dxa" w:w="1250"/>
            <w:tcMar>
              <w:top w:type="dxa" w:w="50"/>
              <w:left w:type="dxa" w:w="90"/>
              <w:bottom w:type="dxa" w:w="50"/>
              <w:right w:type="dxa" w:w="90"/>
            </w:tcMar>
            <w:vAlign w:val="center"/>
          </w:tcPr>
          <w:p>
            <w:pPr>
              <w:spacing w:after="20"/>
              <w:jc w:val="right"/>
            </w:pPr>
            <w:r>
              <w:rPr>
                <w:sz w:val="18"/>
                <w:szCs w:val="18"/>
              </w:rPr>
              <w:t xml:space="preserve">0,11</w:t>
            </w:r>
          </w:p>
        </w:tc>
        <w:tc>
          <w:tcPr>
            <w:tcW w:type="dxa" w:w="1000"/>
            <w:tcMar>
              <w:top w:type="dxa" w:w="50"/>
              <w:left w:type="dxa" w:w="90"/>
              <w:bottom w:type="dxa" w:w="50"/>
              <w:right w:type="dxa" w:w="90"/>
            </w:tcMar>
            <w:vAlign w:val="center"/>
          </w:tcPr>
          <w:p>
            <w:pPr>
              <w:spacing w:after="20"/>
              <w:jc w:val="right"/>
            </w:pPr>
            <w:r>
              <w:rPr>
                <w:sz w:val="18"/>
                <w:szCs w:val="18"/>
              </w:rPr>
              <w:t xml:space="preserve">0,69</w:t>
            </w:r>
          </w:p>
        </w:tc>
        <w:tc>
          <w:tcPr>
            <w:tcW w:type="dxa" w:w="3360"/>
            <w:tcMar>
              <w:top w:type="dxa" w:w="50"/>
              <w:left w:type="dxa" w:w="90"/>
              <w:bottom w:type="dxa" w:w="50"/>
              <w:right w:type="dxa" w:w="90"/>
            </w:tcMar>
            <w:vAlign w:val="center"/>
          </w:tcPr>
          <w:p>
            <w:pPr>
              <w:spacing w:after="20"/>
              <w:jc w:val="left"/>
            </w:pPr>
            <w:r>
              <w:rPr>
                <w:sz w:val="18"/>
                <w:szCs w:val="18"/>
              </w:rPr>
              <w:t xml:space="preserve">learning rate = 0,03; max depth = 3; min samples leaf = 8; n estimators = 50;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Base 2: promedio histórico de la especie</w:t>
            </w:r>
          </w:p>
        </w:tc>
        <w:tc>
          <w:tcPr>
            <w:tcW w:type="dxa" w:w="1250"/>
            <w:tcMar>
              <w:top w:type="dxa" w:w="50"/>
              <w:left w:type="dxa" w:w="90"/>
              <w:bottom w:type="dxa" w:w="50"/>
              <w:right w:type="dxa" w:w="90"/>
            </w:tcMar>
            <w:vAlign w:val="center"/>
          </w:tcPr>
          <w:p>
            <w:pPr>
              <w:spacing w:after="20"/>
              <w:jc w:val="right"/>
            </w:pPr>
            <w:r>
              <w:rPr>
                <w:sz w:val="18"/>
                <w:szCs w:val="18"/>
              </w:rPr>
              <w:t xml:space="preserve">5,1 ± 1,4</w:t>
            </w:r>
          </w:p>
        </w:tc>
        <w:tc>
          <w:tcPr>
            <w:tcW w:type="dxa" w:w="1250"/>
            <w:tcMar>
              <w:top w:type="dxa" w:w="50"/>
              <w:left w:type="dxa" w:w="90"/>
              <w:bottom w:type="dxa" w:w="50"/>
              <w:right w:type="dxa" w:w="90"/>
            </w:tcMar>
            <w:vAlign w:val="center"/>
          </w:tcPr>
          <w:p>
            <w:pPr>
              <w:spacing w:after="20"/>
              <w:jc w:val="right"/>
            </w:pPr>
            <w:r>
              <w:rPr>
                <w:sz w:val="18"/>
                <w:szCs w:val="18"/>
              </w:rPr>
              <w:t xml:space="preserve">-0,18</w:t>
            </w:r>
          </w:p>
        </w:tc>
        <w:tc>
          <w:tcPr>
            <w:tcW w:type="dxa" w:w="1000"/>
            <w:tcMar>
              <w:top w:type="dxa" w:w="50"/>
              <w:left w:type="dxa" w:w="90"/>
              <w:bottom w:type="dxa" w:w="50"/>
              <w:right w:type="dxa" w:w="90"/>
            </w:tcMar>
            <w:vAlign w:val="center"/>
          </w:tcPr>
          <w:p>
            <w:pPr>
              <w:spacing w:after="20"/>
              <w:jc w:val="right"/>
            </w:pPr>
            <w:r>
              <w:rPr>
                <w:sz w:val="18"/>
                <w:szCs w:val="18"/>
              </w:rPr>
              <w:t xml:space="preserve">–</w:t>
            </w:r>
          </w:p>
        </w:tc>
        <w:tc>
          <w:tcPr>
            <w:tcW w:type="dxa" w:w="3360"/>
            <w:tcMar>
              <w:top w:type="dxa" w:w="50"/>
              <w:left w:type="dxa" w:w="90"/>
              <w:bottom w:type="dxa" w:w="50"/>
              <w:right w:type="dxa" w:w="90"/>
            </w:tcMar>
            <w:vAlign w:val="center"/>
          </w:tcPr>
          <w:p>
            <w:pPr>
              <w:spacing w:after="20"/>
              <w:jc w:val="left"/>
            </w:pPr>
            <w:r>
              <w:rPr>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Base 1: crecimiento de hace 12 meses</w:t>
            </w:r>
          </w:p>
        </w:tc>
        <w:tc>
          <w:tcPr>
            <w:tcW w:type="dxa" w:w="1250"/>
            <w:tcMar>
              <w:top w:type="dxa" w:w="50"/>
              <w:left w:type="dxa" w:w="90"/>
              <w:bottom w:type="dxa" w:w="50"/>
              <w:right w:type="dxa" w:w="90"/>
            </w:tcMar>
            <w:vAlign w:val="center"/>
          </w:tcPr>
          <w:p>
            <w:pPr>
              <w:spacing w:after="20"/>
              <w:jc w:val="right"/>
            </w:pPr>
            <w:r>
              <w:rPr>
                <w:sz w:val="18"/>
                <w:szCs w:val="18"/>
              </w:rPr>
              <w:t xml:space="preserve">5,7 ± 1,6</w:t>
            </w:r>
          </w:p>
        </w:tc>
        <w:tc>
          <w:tcPr>
            <w:tcW w:type="dxa" w:w="1250"/>
            <w:tcMar>
              <w:top w:type="dxa" w:w="50"/>
              <w:left w:type="dxa" w:w="90"/>
              <w:bottom w:type="dxa" w:w="50"/>
              <w:right w:type="dxa" w:w="90"/>
            </w:tcMar>
            <w:vAlign w:val="center"/>
          </w:tcPr>
          <w:p>
            <w:pPr>
              <w:spacing w:after="20"/>
              <w:jc w:val="right"/>
            </w:pPr>
            <w:r>
              <w:rPr>
                <w:sz w:val="18"/>
                <w:szCs w:val="18"/>
              </w:rPr>
              <w:t xml:space="preserve">–</w:t>
            </w:r>
          </w:p>
        </w:tc>
        <w:tc>
          <w:tcPr>
            <w:tcW w:type="dxa" w:w="1000"/>
            <w:tcMar>
              <w:top w:type="dxa" w:w="50"/>
              <w:left w:type="dxa" w:w="90"/>
              <w:bottom w:type="dxa" w:w="50"/>
              <w:right w:type="dxa" w:w="90"/>
            </w:tcMar>
            <w:vAlign w:val="center"/>
          </w:tcPr>
          <w:p>
            <w:pPr>
              <w:spacing w:after="20"/>
              <w:jc w:val="right"/>
            </w:pPr>
            <w:r>
              <w:rPr>
                <w:sz w:val="18"/>
                <w:szCs w:val="18"/>
              </w:rPr>
              <w:t xml:space="preserve">–</w:t>
            </w:r>
          </w:p>
        </w:tc>
        <w:tc>
          <w:tcPr>
            <w:tcW w:type="dxa" w:w="3360"/>
            <w:tcMar>
              <w:top w:type="dxa" w:w="50"/>
              <w:left w:type="dxa" w:w="90"/>
              <w:bottom w:type="dxa" w:w="50"/>
              <w:right w:type="dxa" w:w="90"/>
            </w:tcMar>
            <w:vAlign w:val="center"/>
          </w:tcPr>
          <w:p>
            <w:pPr>
              <w:spacing w:after="20"/>
              <w:jc w:val="left"/>
            </w:pPr>
            <w:r>
              <w:rPr>
                <w:sz w:val="18"/>
                <w:szCs w:val="18"/>
              </w:rPr>
              <w:t xml:space="preserve">–</w:t>
            </w:r>
          </w:p>
        </w:tc>
      </w:tr>
    </w:tbl>
    <w:p>
      <w:pPr>
        <w:keepNext/>
        <w:spacing w:after="60" w:before="160"/>
      </w:pPr>
      <w:r>
        <w:rPr>
          <w:b/>
          <w:bCs/>
          <w:color w:val="13201C"/>
          <w:sz w:val="19"/>
          <w:szCs w:val="19"/>
        </w:rPr>
        <w:t xml:space="preserve">Tabla 6. Laboratorio: MAE de validación cruzada (5 pliegues), R² y mejores hiperparámetros</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500"/>
        <w:gridCol w:w="1250"/>
        <w:gridCol w:w="1250"/>
        <w:gridCol w:w="1000"/>
        <w:gridCol w:w="3360"/>
      </w:tblGrid>
      <w:tr>
        <w:trPr>
          <w:cantSplit/>
          <w:tblHeader/>
        </w:trPr>
        <w:tc>
          <w:tcPr>
            <w:tcW w:type="dxa" w:w="25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MAE (pp)</w:t>
            </w:r>
          </w:p>
        </w:tc>
        <w:tc>
          <w:tcPr>
            <w:tcW w:type="dxa" w:w="1250"/>
            <w:shd w:fill="E4EEEB" w:color="auto" w:val="clear"/>
            <w:tcMar>
              <w:top w:type="dxa" w:w="50"/>
              <w:left w:type="dxa" w:w="90"/>
              <w:bottom w:type="dxa" w:w="50"/>
              <w:right w:type="dxa" w:w="90"/>
            </w:tcMar>
            <w:vAlign w:val="center"/>
          </w:tcPr>
          <w:p>
            <w:pPr>
              <w:spacing w:after="20"/>
              <w:jc w:val="right"/>
            </w:pPr>
            <w:r>
              <w:rPr>
                <w:b/>
                <w:bCs/>
                <w:sz w:val="18"/>
                <w:szCs w:val="18"/>
              </w:rPr>
              <w:t xml:space="preserve">R² fuera de pliegue</w:t>
            </w:r>
          </w:p>
        </w:tc>
        <w:tc>
          <w:tcPr>
            <w:tcW w:type="dxa" w:w="1000"/>
            <w:shd w:fill="E4EEEB" w:color="auto" w:val="clear"/>
            <w:tcMar>
              <w:top w:type="dxa" w:w="50"/>
              <w:left w:type="dxa" w:w="90"/>
              <w:bottom w:type="dxa" w:w="50"/>
              <w:right w:type="dxa" w:w="90"/>
            </w:tcMar>
            <w:vAlign w:val="center"/>
          </w:tcPr>
          <w:p>
            <w:pPr>
              <w:spacing w:after="20"/>
              <w:jc w:val="right"/>
            </w:pPr>
            <w:r>
              <w:rPr>
                <w:b/>
                <w:bCs/>
                <w:sz w:val="18"/>
                <w:szCs w:val="18"/>
              </w:rPr>
              <w:t xml:space="preserve">R² entren.</w:t>
            </w:r>
          </w:p>
        </w:tc>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Hiperparámetros</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Regresión lineal por especie</w:t>
            </w:r>
          </w:p>
        </w:tc>
        <w:tc>
          <w:tcPr>
            <w:tcW w:type="dxa" w:w="1250"/>
            <w:tcMar>
              <w:top w:type="dxa" w:w="50"/>
              <w:left w:type="dxa" w:w="90"/>
              <w:bottom w:type="dxa" w:w="50"/>
              <w:right w:type="dxa" w:w="90"/>
            </w:tcMar>
            <w:vAlign w:val="center"/>
          </w:tcPr>
          <w:p>
            <w:pPr>
              <w:spacing w:after="20"/>
              <w:jc w:val="right"/>
            </w:pPr>
            <w:r>
              <w:rPr>
                <w:sz w:val="18"/>
                <w:szCs w:val="18"/>
              </w:rPr>
              <w:t xml:space="preserve">9,6 ± 3,9</w:t>
            </w:r>
          </w:p>
        </w:tc>
        <w:tc>
          <w:tcPr>
            <w:tcW w:type="dxa" w:w="1250"/>
            <w:tcMar>
              <w:top w:type="dxa" w:w="50"/>
              <w:left w:type="dxa" w:w="90"/>
              <w:bottom w:type="dxa" w:w="50"/>
              <w:right w:type="dxa" w:w="90"/>
            </w:tcMar>
            <w:vAlign w:val="center"/>
          </w:tcPr>
          <w:p>
            <w:pPr>
              <w:spacing w:after="20"/>
              <w:jc w:val="right"/>
            </w:pPr>
            <w:r>
              <w:rPr>
                <w:sz w:val="18"/>
                <w:szCs w:val="18"/>
              </w:rPr>
              <w:t xml:space="preserve">-0,29</w:t>
            </w:r>
          </w:p>
        </w:tc>
        <w:tc>
          <w:tcPr>
            <w:tcW w:type="dxa" w:w="1000"/>
            <w:tcMar>
              <w:top w:type="dxa" w:w="50"/>
              <w:left w:type="dxa" w:w="90"/>
              <w:bottom w:type="dxa" w:w="50"/>
              <w:right w:type="dxa" w:w="90"/>
            </w:tcMar>
            <w:vAlign w:val="center"/>
          </w:tcPr>
          <w:p>
            <w:pPr>
              <w:spacing w:after="20"/>
              <w:jc w:val="right"/>
            </w:pPr>
            <w:r>
              <w:rPr>
                <w:sz w:val="18"/>
                <w:szCs w:val="18"/>
              </w:rPr>
              <w:t xml:space="preserve">0,95</w:t>
            </w:r>
          </w:p>
        </w:tc>
        <w:tc>
          <w:tcPr>
            <w:tcW w:type="dxa" w:w="3360"/>
            <w:tcMar>
              <w:top w:type="dxa" w:w="50"/>
              <w:left w:type="dxa" w:w="90"/>
              <w:bottom w:type="dxa" w:w="50"/>
              <w:right w:type="dxa" w:w="90"/>
            </w:tcMar>
            <w:vAlign w:val="center"/>
          </w:tcPr>
          <w:p>
            <w:pPr>
              <w:spacing w:after="20"/>
              <w:jc w:val="left"/>
            </w:pPr>
            <w:r>
              <w:rPr>
                <w:sz w:val="18"/>
                <w:szCs w:val="18"/>
              </w:rPr>
              <w:t xml:space="preserve">;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Ridge por especie</w:t>
            </w:r>
          </w:p>
        </w:tc>
        <w:tc>
          <w:tcPr>
            <w:tcW w:type="dxa" w:w="1250"/>
            <w:tcMar>
              <w:top w:type="dxa" w:w="50"/>
              <w:left w:type="dxa" w:w="90"/>
              <w:bottom w:type="dxa" w:w="50"/>
              <w:right w:type="dxa" w:w="90"/>
            </w:tcMar>
            <w:vAlign w:val="center"/>
          </w:tcPr>
          <w:p>
            <w:pPr>
              <w:spacing w:after="20"/>
              <w:jc w:val="right"/>
            </w:pPr>
            <w:r>
              <w:rPr>
                <w:sz w:val="18"/>
                <w:szCs w:val="18"/>
              </w:rPr>
              <w:t xml:space="preserve">5,4 ± 2,0</w:t>
            </w:r>
          </w:p>
        </w:tc>
        <w:tc>
          <w:tcPr>
            <w:tcW w:type="dxa" w:w="1250"/>
            <w:tcMar>
              <w:top w:type="dxa" w:w="50"/>
              <w:left w:type="dxa" w:w="90"/>
              <w:bottom w:type="dxa" w:w="50"/>
              <w:right w:type="dxa" w:w="90"/>
            </w:tcMar>
            <w:vAlign w:val="center"/>
          </w:tcPr>
          <w:p>
            <w:pPr>
              <w:spacing w:after="20"/>
              <w:jc w:val="right"/>
            </w:pPr>
            <w:r>
              <w:rPr>
                <w:sz w:val="18"/>
                <w:szCs w:val="18"/>
              </w:rPr>
              <w:t xml:space="preserve">0,65</w:t>
            </w:r>
          </w:p>
        </w:tc>
        <w:tc>
          <w:tcPr>
            <w:tcW w:type="dxa" w:w="1000"/>
            <w:tcMar>
              <w:top w:type="dxa" w:w="50"/>
              <w:left w:type="dxa" w:w="90"/>
              <w:bottom w:type="dxa" w:w="50"/>
              <w:right w:type="dxa" w:w="90"/>
            </w:tcMar>
            <w:vAlign w:val="center"/>
          </w:tcPr>
          <w:p>
            <w:pPr>
              <w:spacing w:after="20"/>
              <w:jc w:val="right"/>
            </w:pPr>
            <w:r>
              <w:rPr>
                <w:sz w:val="18"/>
                <w:szCs w:val="18"/>
              </w:rPr>
              <w:t xml:space="preserve">0,91</w:t>
            </w:r>
          </w:p>
        </w:tc>
        <w:tc>
          <w:tcPr>
            <w:tcW w:type="dxa" w:w="3360"/>
            <w:tcMar>
              <w:top w:type="dxa" w:w="50"/>
              <w:left w:type="dxa" w:w="90"/>
              <w:bottom w:type="dxa" w:w="50"/>
              <w:right w:type="dxa" w:w="90"/>
            </w:tcMar>
            <w:vAlign w:val="center"/>
          </w:tcPr>
          <w:p>
            <w:pPr>
              <w:spacing w:after="20"/>
              <w:jc w:val="left"/>
            </w:pPr>
            <w:r>
              <w:rPr>
                <w:sz w:val="18"/>
                <w:szCs w:val="18"/>
              </w:rPr>
              <w:t xml:space="preserve">alpha = 10;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Elastic Net por especie</w:t>
            </w:r>
          </w:p>
        </w:tc>
        <w:tc>
          <w:tcPr>
            <w:tcW w:type="dxa" w:w="1250"/>
            <w:tcMar>
              <w:top w:type="dxa" w:w="50"/>
              <w:left w:type="dxa" w:w="90"/>
              <w:bottom w:type="dxa" w:w="50"/>
              <w:right w:type="dxa" w:w="90"/>
            </w:tcMar>
            <w:vAlign w:val="center"/>
          </w:tcPr>
          <w:p>
            <w:pPr>
              <w:spacing w:after="20"/>
              <w:jc w:val="right"/>
            </w:pPr>
            <w:r>
              <w:rPr>
                <w:sz w:val="18"/>
                <w:szCs w:val="18"/>
              </w:rPr>
              <w:t xml:space="preserve">5,7 ± 2,6</w:t>
            </w:r>
          </w:p>
        </w:tc>
        <w:tc>
          <w:tcPr>
            <w:tcW w:type="dxa" w:w="1250"/>
            <w:tcMar>
              <w:top w:type="dxa" w:w="50"/>
              <w:left w:type="dxa" w:w="90"/>
              <w:bottom w:type="dxa" w:w="50"/>
              <w:right w:type="dxa" w:w="90"/>
            </w:tcMar>
            <w:vAlign w:val="center"/>
          </w:tcPr>
          <w:p>
            <w:pPr>
              <w:spacing w:after="20"/>
              <w:jc w:val="right"/>
            </w:pPr>
            <w:r>
              <w:rPr>
                <w:sz w:val="18"/>
                <w:szCs w:val="18"/>
              </w:rPr>
              <w:t xml:space="preserve">0,60</w:t>
            </w:r>
          </w:p>
        </w:tc>
        <w:tc>
          <w:tcPr>
            <w:tcW w:type="dxa" w:w="1000"/>
            <w:tcMar>
              <w:top w:type="dxa" w:w="50"/>
              <w:left w:type="dxa" w:w="90"/>
              <w:bottom w:type="dxa" w:w="50"/>
              <w:right w:type="dxa" w:w="90"/>
            </w:tcMar>
            <w:vAlign w:val="center"/>
          </w:tcPr>
          <w:p>
            <w:pPr>
              <w:spacing w:after="20"/>
              <w:jc w:val="right"/>
            </w:pPr>
            <w:r>
              <w:rPr>
                <w:sz w:val="18"/>
                <w:szCs w:val="18"/>
              </w:rPr>
              <w:t xml:space="preserve">0,90</w:t>
            </w:r>
          </w:p>
        </w:tc>
        <w:tc>
          <w:tcPr>
            <w:tcW w:type="dxa" w:w="3360"/>
            <w:tcMar>
              <w:top w:type="dxa" w:w="50"/>
              <w:left w:type="dxa" w:w="90"/>
              <w:bottom w:type="dxa" w:w="50"/>
              <w:right w:type="dxa" w:w="90"/>
            </w:tcMar>
            <w:vAlign w:val="center"/>
          </w:tcPr>
          <w:p>
            <w:pPr>
              <w:spacing w:after="20"/>
              <w:jc w:val="left"/>
            </w:pPr>
            <w:r>
              <w:rPr>
                <w:sz w:val="18"/>
                <w:szCs w:val="18"/>
              </w:rPr>
              <w:t xml:space="preserve">alpha = 0,10; l1 ratio = 0,10</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Regresión lineal</w:t>
            </w:r>
          </w:p>
        </w:tc>
        <w:tc>
          <w:tcPr>
            <w:tcW w:type="dxa" w:w="1250"/>
            <w:tcMar>
              <w:top w:type="dxa" w:w="50"/>
              <w:left w:type="dxa" w:w="90"/>
              <w:bottom w:type="dxa" w:w="50"/>
              <w:right w:type="dxa" w:w="90"/>
            </w:tcMar>
            <w:vAlign w:val="center"/>
          </w:tcPr>
          <w:p>
            <w:pPr>
              <w:spacing w:after="20"/>
              <w:jc w:val="right"/>
            </w:pPr>
            <w:r>
              <w:rPr>
                <w:sz w:val="18"/>
                <w:szCs w:val="18"/>
              </w:rPr>
              <w:t xml:space="preserve">7,5 ± 2,5</w:t>
            </w:r>
          </w:p>
        </w:tc>
        <w:tc>
          <w:tcPr>
            <w:tcW w:type="dxa" w:w="1250"/>
            <w:tcMar>
              <w:top w:type="dxa" w:w="50"/>
              <w:left w:type="dxa" w:w="90"/>
              <w:bottom w:type="dxa" w:w="50"/>
              <w:right w:type="dxa" w:w="90"/>
            </w:tcMar>
            <w:vAlign w:val="center"/>
          </w:tcPr>
          <w:p>
            <w:pPr>
              <w:spacing w:after="20"/>
              <w:jc w:val="right"/>
            </w:pPr>
            <w:r>
              <w:rPr>
                <w:sz w:val="18"/>
                <w:szCs w:val="18"/>
              </w:rPr>
              <w:t xml:space="preserve">0,24</w:t>
            </w:r>
          </w:p>
        </w:tc>
        <w:tc>
          <w:tcPr>
            <w:tcW w:type="dxa" w:w="1000"/>
            <w:tcMar>
              <w:top w:type="dxa" w:w="50"/>
              <w:left w:type="dxa" w:w="90"/>
              <w:bottom w:type="dxa" w:w="50"/>
              <w:right w:type="dxa" w:w="90"/>
            </w:tcMar>
            <w:vAlign w:val="center"/>
          </w:tcPr>
          <w:p>
            <w:pPr>
              <w:spacing w:after="20"/>
              <w:jc w:val="right"/>
            </w:pPr>
            <w:r>
              <w:rPr>
                <w:sz w:val="18"/>
                <w:szCs w:val="18"/>
              </w:rPr>
              <w:t xml:space="preserve">0,91</w:t>
            </w:r>
          </w:p>
        </w:tc>
        <w:tc>
          <w:tcPr>
            <w:tcW w:type="dxa" w:w="3360"/>
            <w:tcMar>
              <w:top w:type="dxa" w:w="50"/>
              <w:left w:type="dxa" w:w="90"/>
              <w:bottom w:type="dxa" w:w="50"/>
              <w:right w:type="dxa" w:w="90"/>
            </w:tcMar>
            <w:vAlign w:val="center"/>
          </w:tcPr>
          <w:p>
            <w:pPr>
              <w:spacing w:after="20"/>
              <w:jc w:val="left"/>
            </w:pP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Ridge común</w:t>
            </w:r>
          </w:p>
        </w:tc>
        <w:tc>
          <w:tcPr>
            <w:tcW w:type="dxa" w:w="1250"/>
            <w:tcMar>
              <w:top w:type="dxa" w:w="50"/>
              <w:left w:type="dxa" w:w="90"/>
              <w:bottom w:type="dxa" w:w="50"/>
              <w:right w:type="dxa" w:w="90"/>
            </w:tcMar>
            <w:vAlign w:val="center"/>
          </w:tcPr>
          <w:p>
            <w:pPr>
              <w:spacing w:after="20"/>
              <w:jc w:val="right"/>
            </w:pPr>
            <w:r>
              <w:rPr>
                <w:sz w:val="18"/>
                <w:szCs w:val="18"/>
              </w:rPr>
              <w:t xml:space="preserve">6,8 ± 2,7</w:t>
            </w:r>
          </w:p>
        </w:tc>
        <w:tc>
          <w:tcPr>
            <w:tcW w:type="dxa" w:w="1250"/>
            <w:tcMar>
              <w:top w:type="dxa" w:w="50"/>
              <w:left w:type="dxa" w:w="90"/>
              <w:bottom w:type="dxa" w:w="50"/>
              <w:right w:type="dxa" w:w="90"/>
            </w:tcMar>
            <w:vAlign w:val="center"/>
          </w:tcPr>
          <w:p>
            <w:pPr>
              <w:spacing w:after="20"/>
              <w:jc w:val="right"/>
            </w:pPr>
            <w:r>
              <w:rPr>
                <w:sz w:val="18"/>
                <w:szCs w:val="18"/>
              </w:rPr>
              <w:t xml:space="preserve">0,43</w:t>
            </w:r>
          </w:p>
        </w:tc>
        <w:tc>
          <w:tcPr>
            <w:tcW w:type="dxa" w:w="1000"/>
            <w:tcMar>
              <w:top w:type="dxa" w:w="50"/>
              <w:left w:type="dxa" w:w="90"/>
              <w:bottom w:type="dxa" w:w="50"/>
              <w:right w:type="dxa" w:w="90"/>
            </w:tcMar>
            <w:vAlign w:val="center"/>
          </w:tcPr>
          <w:p>
            <w:pPr>
              <w:spacing w:after="20"/>
              <w:jc w:val="right"/>
            </w:pPr>
            <w:r>
              <w:rPr>
                <w:sz w:val="18"/>
                <w:szCs w:val="18"/>
              </w:rPr>
              <w:t xml:space="preserve">0,91</w:t>
            </w:r>
          </w:p>
        </w:tc>
        <w:tc>
          <w:tcPr>
            <w:tcW w:type="dxa" w:w="3360"/>
            <w:tcMar>
              <w:top w:type="dxa" w:w="50"/>
              <w:left w:type="dxa" w:w="90"/>
              <w:bottom w:type="dxa" w:w="50"/>
              <w:right w:type="dxa" w:w="90"/>
            </w:tcMar>
            <w:vAlign w:val="center"/>
          </w:tcPr>
          <w:p>
            <w:pPr>
              <w:spacing w:after="20"/>
              <w:jc w:val="left"/>
            </w:pPr>
            <w:r>
              <w:rPr>
                <w:sz w:val="18"/>
                <w:szCs w:val="18"/>
              </w:rPr>
              <w:t xml:space="preserve">alpha = 0,10</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Elastic Net común</w:t>
            </w:r>
          </w:p>
        </w:tc>
        <w:tc>
          <w:tcPr>
            <w:tcW w:type="dxa" w:w="1250"/>
            <w:tcMar>
              <w:top w:type="dxa" w:w="50"/>
              <w:left w:type="dxa" w:w="90"/>
              <w:bottom w:type="dxa" w:w="50"/>
              <w:right w:type="dxa" w:w="90"/>
            </w:tcMar>
            <w:vAlign w:val="center"/>
          </w:tcPr>
          <w:p>
            <w:pPr>
              <w:spacing w:after="20"/>
              <w:jc w:val="right"/>
            </w:pPr>
            <w:r>
              <w:rPr>
                <w:sz w:val="18"/>
                <w:szCs w:val="18"/>
              </w:rPr>
              <w:t xml:space="preserve">6,6 ± 2,5</w:t>
            </w:r>
          </w:p>
        </w:tc>
        <w:tc>
          <w:tcPr>
            <w:tcW w:type="dxa" w:w="1250"/>
            <w:tcMar>
              <w:top w:type="dxa" w:w="50"/>
              <w:left w:type="dxa" w:w="90"/>
              <w:bottom w:type="dxa" w:w="50"/>
              <w:right w:type="dxa" w:w="90"/>
            </w:tcMar>
            <w:vAlign w:val="center"/>
          </w:tcPr>
          <w:p>
            <w:pPr>
              <w:spacing w:after="20"/>
              <w:jc w:val="right"/>
            </w:pPr>
            <w:r>
              <w:rPr>
                <w:sz w:val="18"/>
                <w:szCs w:val="18"/>
              </w:rPr>
              <w:t xml:space="preserve">0,48</w:t>
            </w:r>
          </w:p>
        </w:tc>
        <w:tc>
          <w:tcPr>
            <w:tcW w:type="dxa" w:w="1000"/>
            <w:tcMar>
              <w:top w:type="dxa" w:w="50"/>
              <w:left w:type="dxa" w:w="90"/>
              <w:bottom w:type="dxa" w:w="50"/>
              <w:right w:type="dxa" w:w="90"/>
            </w:tcMar>
            <w:vAlign w:val="center"/>
          </w:tcPr>
          <w:p>
            <w:pPr>
              <w:spacing w:after="20"/>
              <w:jc w:val="right"/>
            </w:pPr>
            <w:r>
              <w:rPr>
                <w:sz w:val="18"/>
                <w:szCs w:val="18"/>
              </w:rPr>
              <w:t xml:space="preserve">0,91</w:t>
            </w:r>
          </w:p>
        </w:tc>
        <w:tc>
          <w:tcPr>
            <w:tcW w:type="dxa" w:w="3360"/>
            <w:tcMar>
              <w:top w:type="dxa" w:w="50"/>
              <w:left w:type="dxa" w:w="90"/>
              <w:bottom w:type="dxa" w:w="50"/>
              <w:right w:type="dxa" w:w="90"/>
            </w:tcMar>
            <w:vAlign w:val="center"/>
          </w:tcPr>
          <w:p>
            <w:pPr>
              <w:spacing w:after="20"/>
              <w:jc w:val="left"/>
            </w:pPr>
            <w:r>
              <w:rPr>
                <w:sz w:val="18"/>
                <w:szCs w:val="18"/>
              </w:rPr>
              <w:t xml:space="preserve">alpha = 0,001; l1 ratio = 1</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K vecinos más cercanos</w:t>
            </w:r>
          </w:p>
        </w:tc>
        <w:tc>
          <w:tcPr>
            <w:tcW w:type="dxa" w:w="1250"/>
            <w:tcMar>
              <w:top w:type="dxa" w:w="50"/>
              <w:left w:type="dxa" w:w="90"/>
              <w:bottom w:type="dxa" w:w="50"/>
              <w:right w:type="dxa" w:w="90"/>
            </w:tcMar>
            <w:vAlign w:val="center"/>
          </w:tcPr>
          <w:p>
            <w:pPr>
              <w:spacing w:after="20"/>
              <w:jc w:val="right"/>
            </w:pPr>
            <w:r>
              <w:rPr>
                <w:sz w:val="18"/>
                <w:szCs w:val="18"/>
              </w:rPr>
              <w:t xml:space="preserve">6,0 ± 2,0</w:t>
            </w:r>
          </w:p>
        </w:tc>
        <w:tc>
          <w:tcPr>
            <w:tcW w:type="dxa" w:w="1250"/>
            <w:tcMar>
              <w:top w:type="dxa" w:w="50"/>
              <w:left w:type="dxa" w:w="90"/>
              <w:bottom w:type="dxa" w:w="50"/>
              <w:right w:type="dxa" w:w="90"/>
            </w:tcMar>
            <w:vAlign w:val="center"/>
          </w:tcPr>
          <w:p>
            <w:pPr>
              <w:spacing w:after="20"/>
              <w:jc w:val="right"/>
            </w:pPr>
            <w:r>
              <w:rPr>
                <w:sz w:val="18"/>
                <w:szCs w:val="18"/>
              </w:rPr>
              <w:t xml:space="preserve">0,60</w:t>
            </w:r>
          </w:p>
        </w:tc>
        <w:tc>
          <w:tcPr>
            <w:tcW w:type="dxa" w:w="1000"/>
            <w:tcMar>
              <w:top w:type="dxa" w:w="50"/>
              <w:left w:type="dxa" w:w="90"/>
              <w:bottom w:type="dxa" w:w="50"/>
              <w:right w:type="dxa" w:w="90"/>
            </w:tcMar>
            <w:vAlign w:val="center"/>
          </w:tcPr>
          <w:p>
            <w:pPr>
              <w:spacing w:after="20"/>
              <w:jc w:val="right"/>
            </w:pPr>
            <w:r>
              <w:rPr>
                <w:sz w:val="18"/>
                <w:szCs w:val="18"/>
              </w:rPr>
              <w:t xml:space="preserve">1,00</w:t>
            </w:r>
          </w:p>
        </w:tc>
        <w:tc>
          <w:tcPr>
            <w:tcW w:type="dxa" w:w="3360"/>
            <w:tcMar>
              <w:top w:type="dxa" w:w="50"/>
              <w:left w:type="dxa" w:w="90"/>
              <w:bottom w:type="dxa" w:w="50"/>
              <w:right w:type="dxa" w:w="90"/>
            </w:tcMar>
            <w:vAlign w:val="center"/>
          </w:tcPr>
          <w:p>
            <w:pPr>
              <w:spacing w:after="20"/>
              <w:jc w:val="left"/>
            </w:pPr>
            <w:r>
              <w:rPr>
                <w:sz w:val="18"/>
                <w:szCs w:val="18"/>
              </w:rPr>
              <w:t xml:space="preserve">n neighbors = 3; p = 1; weights = distance</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Bagging de árboles</w:t>
            </w:r>
          </w:p>
        </w:tc>
        <w:tc>
          <w:tcPr>
            <w:tcW w:type="dxa" w:w="1250"/>
            <w:tcMar>
              <w:top w:type="dxa" w:w="50"/>
              <w:left w:type="dxa" w:w="90"/>
              <w:bottom w:type="dxa" w:w="50"/>
              <w:right w:type="dxa" w:w="90"/>
            </w:tcMar>
            <w:vAlign w:val="center"/>
          </w:tcPr>
          <w:p>
            <w:pPr>
              <w:spacing w:after="20"/>
              <w:jc w:val="right"/>
            </w:pPr>
            <w:r>
              <w:rPr>
                <w:sz w:val="18"/>
                <w:szCs w:val="18"/>
              </w:rPr>
              <w:t xml:space="preserve">5,9 ± 1,2</w:t>
            </w:r>
          </w:p>
        </w:tc>
        <w:tc>
          <w:tcPr>
            <w:tcW w:type="dxa" w:w="1250"/>
            <w:tcMar>
              <w:top w:type="dxa" w:w="50"/>
              <w:left w:type="dxa" w:w="90"/>
              <w:bottom w:type="dxa" w:w="50"/>
              <w:right w:type="dxa" w:w="90"/>
            </w:tcMar>
            <w:vAlign w:val="center"/>
          </w:tcPr>
          <w:p>
            <w:pPr>
              <w:spacing w:after="20"/>
              <w:jc w:val="right"/>
            </w:pPr>
            <w:r>
              <w:rPr>
                <w:sz w:val="18"/>
                <w:szCs w:val="18"/>
              </w:rPr>
              <w:t xml:space="preserve">0,62</w:t>
            </w:r>
          </w:p>
        </w:tc>
        <w:tc>
          <w:tcPr>
            <w:tcW w:type="dxa" w:w="1000"/>
            <w:tcMar>
              <w:top w:type="dxa" w:w="50"/>
              <w:left w:type="dxa" w:w="90"/>
              <w:bottom w:type="dxa" w:w="50"/>
              <w:right w:type="dxa" w:w="90"/>
            </w:tcMar>
            <w:vAlign w:val="center"/>
          </w:tcPr>
          <w:p>
            <w:pPr>
              <w:spacing w:after="20"/>
              <w:jc w:val="right"/>
            </w:pPr>
            <w:r>
              <w:rPr>
                <w:sz w:val="18"/>
                <w:szCs w:val="18"/>
              </w:rPr>
              <w:t xml:space="preserve">0,97</w:t>
            </w:r>
          </w:p>
        </w:tc>
        <w:tc>
          <w:tcPr>
            <w:tcW w:type="dxa" w:w="3360"/>
            <w:tcMar>
              <w:top w:type="dxa" w:w="50"/>
              <w:left w:type="dxa" w:w="90"/>
              <w:bottom w:type="dxa" w:w="50"/>
              <w:right w:type="dxa" w:w="90"/>
            </w:tcMar>
            <w:vAlign w:val="center"/>
          </w:tcPr>
          <w:p>
            <w:pPr>
              <w:spacing w:after="20"/>
              <w:jc w:val="left"/>
            </w:pPr>
            <w:r>
              <w:rPr>
                <w:sz w:val="18"/>
                <w:szCs w:val="18"/>
              </w:rPr>
              <w:t xml:space="preserve">max depth = sin límite; min samples leaf = 3; max samples = 1</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Random Forest</w:t>
            </w:r>
          </w:p>
        </w:tc>
        <w:tc>
          <w:tcPr>
            <w:tcW w:type="dxa" w:w="1250"/>
            <w:tcMar>
              <w:top w:type="dxa" w:w="50"/>
              <w:left w:type="dxa" w:w="90"/>
              <w:bottom w:type="dxa" w:w="50"/>
              <w:right w:type="dxa" w:w="90"/>
            </w:tcMar>
            <w:vAlign w:val="center"/>
          </w:tcPr>
          <w:p>
            <w:pPr>
              <w:spacing w:after="20"/>
              <w:jc w:val="right"/>
            </w:pPr>
            <w:r>
              <w:rPr>
                <w:sz w:val="18"/>
                <w:szCs w:val="18"/>
              </w:rPr>
              <w:t xml:space="preserve">5,8 ± 1,2</w:t>
            </w:r>
          </w:p>
        </w:tc>
        <w:tc>
          <w:tcPr>
            <w:tcW w:type="dxa" w:w="1250"/>
            <w:tcMar>
              <w:top w:type="dxa" w:w="50"/>
              <w:left w:type="dxa" w:w="90"/>
              <w:bottom w:type="dxa" w:w="50"/>
              <w:right w:type="dxa" w:w="90"/>
            </w:tcMar>
            <w:vAlign w:val="center"/>
          </w:tcPr>
          <w:p>
            <w:pPr>
              <w:spacing w:after="20"/>
              <w:jc w:val="right"/>
            </w:pPr>
            <w:r>
              <w:rPr>
                <w:sz w:val="18"/>
                <w:szCs w:val="18"/>
              </w:rPr>
              <w:t xml:space="preserve">0,65</w:t>
            </w:r>
          </w:p>
        </w:tc>
        <w:tc>
          <w:tcPr>
            <w:tcW w:type="dxa" w:w="1000"/>
            <w:tcMar>
              <w:top w:type="dxa" w:w="50"/>
              <w:left w:type="dxa" w:w="90"/>
              <w:bottom w:type="dxa" w:w="50"/>
              <w:right w:type="dxa" w:w="90"/>
            </w:tcMar>
            <w:vAlign w:val="center"/>
          </w:tcPr>
          <w:p>
            <w:pPr>
              <w:spacing w:after="20"/>
              <w:jc w:val="right"/>
            </w:pPr>
            <w:r>
              <w:rPr>
                <w:sz w:val="18"/>
                <w:szCs w:val="18"/>
              </w:rPr>
              <w:t xml:space="preserve">0,95</w:t>
            </w:r>
          </w:p>
        </w:tc>
        <w:tc>
          <w:tcPr>
            <w:tcW w:type="dxa" w:w="3360"/>
            <w:tcMar>
              <w:top w:type="dxa" w:w="50"/>
              <w:left w:type="dxa" w:w="90"/>
              <w:bottom w:type="dxa" w:w="50"/>
              <w:right w:type="dxa" w:w="90"/>
            </w:tcMar>
            <w:vAlign w:val="center"/>
          </w:tcPr>
          <w:p>
            <w:pPr>
              <w:spacing w:after="20"/>
              <w:jc w:val="left"/>
            </w:pPr>
            <w:r>
              <w:rPr>
                <w:sz w:val="18"/>
                <w:szCs w:val="18"/>
              </w:rPr>
              <w:t xml:space="preserve">max depth = 8; max features = 0,50; min samples leaf = 3;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Gradient Boosting</w:t>
            </w:r>
          </w:p>
        </w:tc>
        <w:tc>
          <w:tcPr>
            <w:tcW w:type="dxa" w:w="1250"/>
            <w:tcMar>
              <w:top w:type="dxa" w:w="50"/>
              <w:left w:type="dxa" w:w="90"/>
              <w:bottom w:type="dxa" w:w="50"/>
              <w:right w:type="dxa" w:w="90"/>
            </w:tcMar>
            <w:vAlign w:val="center"/>
          </w:tcPr>
          <w:p>
            <w:pPr>
              <w:spacing w:after="20"/>
              <w:jc w:val="right"/>
            </w:pPr>
            <w:r>
              <w:rPr>
                <w:sz w:val="18"/>
                <w:szCs w:val="18"/>
              </w:rPr>
              <w:t xml:space="preserve">5,3 ± 1,8</w:t>
            </w:r>
          </w:p>
        </w:tc>
        <w:tc>
          <w:tcPr>
            <w:tcW w:type="dxa" w:w="1250"/>
            <w:tcMar>
              <w:top w:type="dxa" w:w="50"/>
              <w:left w:type="dxa" w:w="90"/>
              <w:bottom w:type="dxa" w:w="50"/>
              <w:right w:type="dxa" w:w="90"/>
            </w:tcMar>
            <w:vAlign w:val="center"/>
          </w:tcPr>
          <w:p>
            <w:pPr>
              <w:spacing w:after="20"/>
              <w:jc w:val="right"/>
            </w:pPr>
            <w:r>
              <w:rPr>
                <w:sz w:val="18"/>
                <w:szCs w:val="18"/>
              </w:rPr>
              <w:t xml:space="preserve">0,66</w:t>
            </w:r>
          </w:p>
        </w:tc>
        <w:tc>
          <w:tcPr>
            <w:tcW w:type="dxa" w:w="1000"/>
            <w:tcMar>
              <w:top w:type="dxa" w:w="50"/>
              <w:left w:type="dxa" w:w="90"/>
              <w:bottom w:type="dxa" w:w="50"/>
              <w:right w:type="dxa" w:w="90"/>
            </w:tcMar>
            <w:vAlign w:val="center"/>
          </w:tcPr>
          <w:p>
            <w:pPr>
              <w:spacing w:after="20"/>
              <w:jc w:val="right"/>
            </w:pPr>
            <w:r>
              <w:rPr>
                <w:sz w:val="18"/>
                <w:szCs w:val="18"/>
              </w:rPr>
              <w:t xml:space="preserve">1,00</w:t>
            </w:r>
          </w:p>
        </w:tc>
        <w:tc>
          <w:tcPr>
            <w:tcW w:type="dxa" w:w="3360"/>
            <w:tcMar>
              <w:top w:type="dxa" w:w="50"/>
              <w:left w:type="dxa" w:w="90"/>
              <w:bottom w:type="dxa" w:w="50"/>
              <w:right w:type="dxa" w:w="90"/>
            </w:tcMar>
            <w:vAlign w:val="center"/>
          </w:tcPr>
          <w:p>
            <w:pPr>
              <w:spacing w:after="20"/>
              <w:jc w:val="left"/>
            </w:pPr>
            <w:r>
              <w:rPr>
                <w:sz w:val="18"/>
                <w:szCs w:val="18"/>
              </w:rPr>
              <w:t xml:space="preserve">learning rate = 0,03; max depth = 3; min samples leaf = 3; n estimators = 400; con ponderación</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Base 2: promedio histórico de la especie</w:t>
            </w:r>
          </w:p>
        </w:tc>
        <w:tc>
          <w:tcPr>
            <w:tcW w:type="dxa" w:w="1250"/>
            <w:tcMar>
              <w:top w:type="dxa" w:w="50"/>
              <w:left w:type="dxa" w:w="90"/>
              <w:bottom w:type="dxa" w:w="50"/>
              <w:right w:type="dxa" w:w="90"/>
            </w:tcMar>
            <w:vAlign w:val="center"/>
          </w:tcPr>
          <w:p>
            <w:pPr>
              <w:spacing w:after="20"/>
              <w:jc w:val="right"/>
            </w:pPr>
            <w:r>
              <w:rPr>
                <w:sz w:val="18"/>
                <w:szCs w:val="18"/>
              </w:rPr>
              <w:t xml:space="preserve">6,1 ± 1,1</w:t>
            </w:r>
          </w:p>
        </w:tc>
        <w:tc>
          <w:tcPr>
            <w:tcW w:type="dxa" w:w="1250"/>
            <w:tcMar>
              <w:top w:type="dxa" w:w="50"/>
              <w:left w:type="dxa" w:w="90"/>
              <w:bottom w:type="dxa" w:w="50"/>
              <w:right w:type="dxa" w:w="90"/>
            </w:tcMar>
            <w:vAlign w:val="center"/>
          </w:tcPr>
          <w:p>
            <w:pPr>
              <w:spacing w:after="20"/>
              <w:jc w:val="right"/>
            </w:pPr>
            <w:r>
              <w:rPr>
                <w:sz w:val="18"/>
                <w:szCs w:val="18"/>
              </w:rPr>
              <w:t xml:space="preserve">0,60</w:t>
            </w:r>
          </w:p>
        </w:tc>
        <w:tc>
          <w:tcPr>
            <w:tcW w:type="dxa" w:w="1000"/>
            <w:tcMar>
              <w:top w:type="dxa" w:w="50"/>
              <w:left w:type="dxa" w:w="90"/>
              <w:bottom w:type="dxa" w:w="50"/>
              <w:right w:type="dxa" w:w="90"/>
            </w:tcMar>
            <w:vAlign w:val="center"/>
          </w:tcPr>
          <w:p>
            <w:pPr>
              <w:spacing w:after="20"/>
              <w:jc w:val="right"/>
            </w:pPr>
            <w:r>
              <w:rPr>
                <w:sz w:val="18"/>
                <w:szCs w:val="18"/>
              </w:rPr>
              <w:t xml:space="preserve">–</w:t>
            </w:r>
          </w:p>
        </w:tc>
        <w:tc>
          <w:tcPr>
            <w:tcW w:type="dxa" w:w="3360"/>
            <w:tcMar>
              <w:top w:type="dxa" w:w="50"/>
              <w:left w:type="dxa" w:w="90"/>
              <w:bottom w:type="dxa" w:w="50"/>
              <w:right w:type="dxa" w:w="90"/>
            </w:tcMar>
            <w:vAlign w:val="center"/>
          </w:tcPr>
          <w:p>
            <w:pPr>
              <w:spacing w:after="20"/>
              <w:jc w:val="left"/>
            </w:pPr>
            <w:r>
              <w:rPr>
                <w:sz w:val="18"/>
                <w:szCs w:val="18"/>
              </w:rPr>
              <w:t xml:space="preserve">–</w:t>
            </w:r>
          </w:p>
        </w:tc>
      </w:tr>
      <w:tr>
        <w:trPr>
          <w:cantSplit/>
        </w:trPr>
        <w:tc>
          <w:tcPr>
            <w:tcW w:type="dxa" w:w="2500"/>
            <w:tcMar>
              <w:top w:type="dxa" w:w="50"/>
              <w:left w:type="dxa" w:w="90"/>
              <w:bottom w:type="dxa" w:w="50"/>
              <w:right w:type="dxa" w:w="90"/>
            </w:tcMar>
            <w:vAlign w:val="center"/>
          </w:tcPr>
          <w:p>
            <w:pPr>
              <w:spacing w:after="20"/>
              <w:jc w:val="left"/>
            </w:pPr>
            <w:r>
              <w:rPr>
                <w:sz w:val="18"/>
                <w:szCs w:val="18"/>
              </w:rPr>
              <w:t xml:space="preserve">Base 1: crecimiento de hace 12 meses</w:t>
            </w:r>
          </w:p>
        </w:tc>
        <w:tc>
          <w:tcPr>
            <w:tcW w:type="dxa" w:w="1250"/>
            <w:tcMar>
              <w:top w:type="dxa" w:w="50"/>
              <w:left w:type="dxa" w:w="90"/>
              <w:bottom w:type="dxa" w:w="50"/>
              <w:right w:type="dxa" w:w="90"/>
            </w:tcMar>
            <w:vAlign w:val="center"/>
          </w:tcPr>
          <w:p>
            <w:pPr>
              <w:spacing w:after="20"/>
              <w:jc w:val="right"/>
            </w:pPr>
            <w:r>
              <w:rPr>
                <w:sz w:val="18"/>
                <w:szCs w:val="18"/>
              </w:rPr>
              <w:t xml:space="preserve">7,9 ± 0,7</w:t>
            </w:r>
          </w:p>
        </w:tc>
        <w:tc>
          <w:tcPr>
            <w:tcW w:type="dxa" w:w="1250"/>
            <w:tcMar>
              <w:top w:type="dxa" w:w="50"/>
              <w:left w:type="dxa" w:w="90"/>
              <w:bottom w:type="dxa" w:w="50"/>
              <w:right w:type="dxa" w:w="90"/>
            </w:tcMar>
            <w:vAlign w:val="center"/>
          </w:tcPr>
          <w:p>
            <w:pPr>
              <w:spacing w:after="20"/>
              <w:jc w:val="right"/>
            </w:pPr>
            <w:r>
              <w:rPr>
                <w:sz w:val="18"/>
                <w:szCs w:val="18"/>
              </w:rPr>
              <w:t xml:space="preserve">–</w:t>
            </w:r>
          </w:p>
        </w:tc>
        <w:tc>
          <w:tcPr>
            <w:tcW w:type="dxa" w:w="1000"/>
            <w:tcMar>
              <w:top w:type="dxa" w:w="50"/>
              <w:left w:type="dxa" w:w="90"/>
              <w:bottom w:type="dxa" w:w="50"/>
              <w:right w:type="dxa" w:w="90"/>
            </w:tcMar>
            <w:vAlign w:val="center"/>
          </w:tcPr>
          <w:p>
            <w:pPr>
              <w:spacing w:after="20"/>
              <w:jc w:val="right"/>
            </w:pPr>
            <w:r>
              <w:rPr>
                <w:sz w:val="18"/>
                <w:szCs w:val="18"/>
              </w:rPr>
              <w:t xml:space="preserve">–</w:t>
            </w:r>
          </w:p>
        </w:tc>
        <w:tc>
          <w:tcPr>
            <w:tcW w:type="dxa" w:w="3360"/>
            <w:tcMar>
              <w:top w:type="dxa" w:w="50"/>
              <w:left w:type="dxa" w:w="90"/>
              <w:bottom w:type="dxa" w:w="50"/>
              <w:right w:type="dxa" w:w="90"/>
            </w:tcMar>
            <w:vAlign w:val="center"/>
          </w:tcPr>
          <w:p>
            <w:pPr>
              <w:spacing w:after="20"/>
              <w:jc w:val="left"/>
            </w:pPr>
            <w:r>
              <w:rPr>
                <w:sz w:val="18"/>
                <w:szCs w:val="18"/>
              </w:rPr>
              <w:t xml:space="preserve">–</w:t>
            </w:r>
          </w:p>
        </w:tc>
      </w:tr>
    </w:tbl>
    <w:p>
      <w:pPr>
        <w:spacing w:after="200" w:before="60"/>
      </w:pPr>
      <w:r>
        <w:rPr>
          <w:i/>
          <w:iCs/>
          <w:color w:val="5E6E69"/>
          <w:sz w:val="18"/>
          <w:szCs w:val="18"/>
        </w:rPr>
        <w:t xml:space="preserve">Las diferencias entre pliegues (desviación de 1 a 2,6 pp) son mayores que las diferencias entre la mayoría de los modelos. El R² del Laboratorio es alto en parte porque cada especie tiene su propio nivel de crecimiento: con solo el promedio de la especie ya se llega a 0,60.</w:t>
      </w:r>
    </w:p>
    <w:p>
      <w:pPr>
        <w:keepNext/>
        <w:spacing w:after="40" w:before="80"/>
        <w:jc w:val="center"/>
      </w:pPr>
      <w:r>
        <w:drawing>
          <wp:inline distT="0" distB="0" distL="0" distR="0">
            <wp:extent cx="4476750" cy="2609850"/>
            <wp:effectExtent t="0" r="0" b="0" l="0"/>
            <wp:docPr id="1" name="comparacion_mercado.png" descr="comparacion_mercado.png" title="comparacion_mer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09850"/>
                    </a:xfrm>
                    <a:prstGeom prst="rect">
                      <a:avLst/>
                    </a:prstGeom>
                  </pic:spPr>
                </pic:pic>
              </a:graphicData>
            </a:graphic>
          </wp:inline>
        </w:drawing>
      </w:r>
    </w:p>
    <w:p>
      <w:pPr>
        <w:spacing w:after="200" w:before="60"/>
      </w:pPr>
      <w:r>
        <w:rPr>
          <w:i/>
          <w:iCs/>
          <w:color w:val="5E6E69"/>
          <w:sz w:val="18"/>
          <w:szCs w:val="18"/>
        </w:rPr>
        <w:t xml:space="preserve">Figura 5. Mercado: MAE de validación cruzada por modelo y R² fuera de pliegue.</w:t>
      </w:r>
    </w:p>
    <w:p>
      <w:pPr>
        <w:keepNext/>
        <w:spacing w:after="40" w:before="80"/>
        <w:jc w:val="center"/>
      </w:pPr>
      <w:r>
        <w:drawing>
          <wp:inline distT="0" distB="0" distL="0" distR="0">
            <wp:extent cx="5715000" cy="3371850"/>
            <wp:effectExtent t="0" r="0" b="0" l="0"/>
            <wp:docPr id="1" name="curvas_validacion_mercado.png" descr="curvas_validacion_mercado.png" title="curvas_validacion_mer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71850"/>
                    </a:xfrm>
                    <a:prstGeom prst="rect">
                      <a:avLst/>
                    </a:prstGeom>
                  </pic:spPr>
                </pic:pic>
              </a:graphicData>
            </a:graphic>
          </wp:inline>
        </w:drawing>
      </w:r>
    </w:p>
    <w:p>
      <w:pPr>
        <w:spacing w:after="200" w:before="60"/>
      </w:pPr>
      <w:r>
        <w:rPr>
          <w:i/>
          <w:iCs/>
          <w:color w:val="5E6E69"/>
          <w:sz w:val="18"/>
          <w:szCs w:val="18"/>
        </w:rPr>
        <w:t xml:space="preserve">Figura 6. Curvas de validación del mercado: alpha de Ridge y Elastic Net, k de K vecinos, profundidad de los árboles, iteraciones del boosting y número de árboles.</w:t>
      </w:r>
    </w:p>
    <w:p>
      <w:pPr>
        <w:pStyle w:val="ListParagraph"/>
        <w:numPr>
          <w:ilvl w:val="0"/>
          <w:numId w:val="2"/>
        </w:numPr>
        <w:spacing w:after="60" w:line="264"/>
      </w:pPr>
      <w:r>
        <w:rPr>
          <w:b/>
          <w:bCs/>
        </w:rPr>
        <w:t xml:space="preserve">Ridge y Elastic Net:</w:t>
      </w:r>
      <w:r>
        <w:t xml:space="preserve"> el error baja al aumentar la regularización y se estabiliza cerca de alpha = 1.000 (Ridge) o 0,1 (Elastic Net): el modelo se acerca al promedio de cada especie.</w:t>
      </w:r>
    </w:p>
    <w:p>
      <w:pPr>
        <w:pStyle w:val="ListParagraph"/>
        <w:numPr>
          <w:ilvl w:val="0"/>
          <w:numId w:val="2"/>
        </w:numPr>
        <w:spacing w:after="60" w:line="264"/>
      </w:pPr>
      <w:r>
        <w:rPr>
          <w:b/>
          <w:bCs/>
        </w:rPr>
        <w:t xml:space="preserve">Boosting:</w:t>
      </w:r>
      <w:r>
        <w:t xml:space="preserve"> la curva de validación alcanza su mínimo en 49 iteraciones (4,17 pp) y empeora después (4,53 pp con 400), mientras el error de entrenamiento sigue bajando hasta 1,26: sobreajuste. Se eligieron 50 iteraciones.</w:t>
      </w:r>
    </w:p>
    <w:p>
      <w:pPr>
        <w:pStyle w:val="ListParagraph"/>
        <w:numPr>
          <w:ilvl w:val="0"/>
          <w:numId w:val="2"/>
        </w:numPr>
        <w:spacing w:after="60" w:line="264"/>
      </w:pPr>
      <w:r>
        <w:rPr>
          <w:b/>
          <w:bCs/>
        </w:rPr>
        <w:t xml:space="preserve">Bagging y bosque:</w:t>
      </w:r>
      <w:r>
        <w:t xml:space="preserve"> el error se estabiliza hacia los 100 árboles (Random Forest: 4,73 con 10 árboles y 4,55 con 100); más árboles no ayudan. Ese es el techo de la varianza que se elimina promediando; el resto del error es sesgo.</w:t>
      </w:r>
    </w:p>
    <w:p>
      <w:pPr>
        <w:pStyle w:val="Heading2"/>
      </w:pPr>
      <w:r>
        <w:t xml:space="preserve">4.6 Modelos elegidos</w:t>
      </w:r>
    </w:p>
    <w:p>
      <w:pPr>
        <w:pBdr>
          <w:left w:val="single" w:color="0B5D4F" w:sz="24" w:space="8"/>
        </w:pBdr>
        <w:shd w:fill="EEF5F3" w:color="auto" w:val="clear"/>
        <w:spacing w:after="160" w:before="80" w:line="276"/>
        <w:ind w:left="160" w:right="80"/>
      </w:pPr>
      <w:r>
        <w:rPr>
          <w:b/>
          <w:bCs/>
        </w:rPr>
        <w:t xml:space="preserve">Modelo A (elegido por la regla).</w:t>
      </w:r>
      <w:r>
        <w:t xml:space="preserve"> Mercado: Elastic Net común (alpha = 0,10; l1 ratio = 0,50). Mercado donde compite: Ridge común (alpha = 10.000; con ponderación). Laboratorio: Ridge por especie (alpha = 10; con ponderación) con el crecimiento del mercado total como variable (variante de menor error: 5,45 pp frente a 5,52 con el mercado donde compite). Los cinco o seis modelos más precisos de cada tarea quedaron dentro de un error estándar entre sí, y la regla escogió el más simple.</w:t>
      </w:r>
    </w:p>
    <w:p>
      <w:pPr>
        <w:pStyle w:val="ListParagraph"/>
        <w:numPr>
          <w:ilvl w:val="0"/>
          <w:numId w:val="2"/>
        </w:numPr>
        <w:spacing w:after="60" w:line="264"/>
      </w:pPr>
      <w:r>
        <w:rPr>
          <w:b/>
          <w:bCs/>
        </w:rPr>
        <w:t xml:space="preserve">El modelo A es casi una constante en el mercado.</w:t>
      </w:r>
      <w:r>
        <w:t xml:space="preserve"> Su R² fuera de pliegue es -0,03 y en entrenamiento 0,00: predice cerca del promedio de todas las especies. Supera a las líneas base en validación (4,6 frente a 5,1 y 5,7 pp), pero por una diferencia que está dentro del ruido.</w:t>
      </w:r>
    </w:p>
    <w:p>
      <w:pPr>
        <w:pStyle w:val="ListParagraph"/>
        <w:numPr>
          <w:ilvl w:val="0"/>
          <w:numId w:val="2"/>
        </w:numPr>
        <w:spacing w:after="60" w:line="264"/>
      </w:pPr>
      <w:r>
        <w:rPr>
          <w:b/>
          <w:bCs/>
        </w:rPr>
        <w:t xml:space="preserve">Gradient Boosting (modelo B)</w:t>
      </w:r>
      <w:r>
        <w:t xml:space="preserve"> tuvo el menor MAE de validación en las tres tareas (mercado 4,2, Laboratorio 5,3 pp) y el único R² positivo en el mercado (0,11). Quedó fuera por la regla de simplicidad; por eso se reporta aparte.</w:t>
      </w:r>
    </w:p>
    <w:p>
      <w:pPr>
        <w:pStyle w:val="Heading1"/>
        <w:spacing w:after="200" w:before="480"/>
      </w:pPr>
      <w:r>
        <w:t xml:space="preserve">5. Evaluación</w:t>
      </w:r>
    </w:p>
    <w:p>
      <w:pPr>
        <w:pStyle w:val="Heading2"/>
      </w:pPr>
      <w:r>
        <w:t xml:space="preserve">5.1 Métricas según el costo del error</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3600"/>
        <w:gridCol w:w="34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Métrica</w:t>
            </w:r>
          </w:p>
        </w:tc>
        <w:tc>
          <w:tcPr>
            <w:tcW w:type="dxa" w:w="3600"/>
            <w:shd w:fill="E4EEEB" w:color="auto" w:val="clear"/>
            <w:tcMar>
              <w:top w:type="dxa" w:w="50"/>
              <w:left w:type="dxa" w:w="90"/>
              <w:bottom w:type="dxa" w:w="50"/>
              <w:right w:type="dxa" w:w="90"/>
            </w:tcMar>
            <w:vAlign w:val="center"/>
          </w:tcPr>
          <w:p>
            <w:pPr>
              <w:spacing w:after="20"/>
              <w:jc w:val="left"/>
            </w:pPr>
            <w:r>
              <w:rPr>
                <w:b/>
                <w:bCs/>
                <w:sz w:val="18"/>
                <w:szCs w:val="18"/>
              </w:rPr>
              <w:t xml:space="preserve">Qué mide</w:t>
            </w:r>
          </w:p>
        </w:tc>
        <w:tc>
          <w:tcPr>
            <w:tcW w:type="dxa" w:w="3460"/>
            <w:shd w:fill="E4EEEB" w:color="auto" w:val="clear"/>
            <w:tcMar>
              <w:top w:type="dxa" w:w="50"/>
              <w:left w:type="dxa" w:w="90"/>
              <w:bottom w:type="dxa" w:w="50"/>
              <w:right w:type="dxa" w:w="90"/>
            </w:tcMar>
            <w:vAlign w:val="center"/>
          </w:tcPr>
          <w:p>
            <w:pPr>
              <w:spacing w:after="20"/>
              <w:jc w:val="left"/>
            </w:pPr>
            <w:r>
              <w:rPr>
                <w:b/>
                <w:bCs/>
                <w:sz w:val="18"/>
                <w:szCs w:val="18"/>
              </w:rPr>
              <w:t xml:space="preserve">Por qué se eligió</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MAE (pp)</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Error medio absoluto del crecimiento, en puntos porcentuales.</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Costo lineal en la distancia al valor real y fácil de explicar al negocio. Principal métrica técnica.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RMSE (pp), sesgo (pp) y R²</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RMSE penaliza errores grandes; el sesgo indica si el modelo sobrestima (positivo) o subestima; R² compara con predecir el promedio.</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Un sesgo positivo sostenido es el error más costoso en el supuesto de costos.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Costo medio por escenario</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Costo promedio del escenario asignado: 2 por nivel de sobrestimación y 1 por nivel de subestimación.</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Es la métrica de éxito del negocio (Sección 1.4).</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Acierto y F1 macro de escenario</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Proporción de escenarios correctos y promedio del F1 por clase.</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El acierto solo engaña con clases raras; el F1 macro da el mismo peso a cada escenario.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Recall de "regular"</w:t>
            </w:r>
          </w:p>
        </w:tc>
        <w:tc>
          <w:tcPr>
            <w:tcW w:type="dxa" w:w="3600"/>
            <w:tcMar>
              <w:top w:type="dxa" w:w="50"/>
              <w:left w:type="dxa" w:w="90"/>
              <w:bottom w:type="dxa" w:w="50"/>
              <w:right w:type="dxa" w:w="90"/>
            </w:tcMar>
            <w:vAlign w:val="center"/>
          </w:tcPr>
          <w:p>
            <w:pPr>
              <w:spacing w:after="20"/>
              <w:jc w:val="left"/>
            </w:pPr>
            <w:r>
              <w:rPr>
                <w:b w:val="false"/>
                <w:bCs w:val="false"/>
                <w:sz w:val="18"/>
                <w:szCs w:val="18"/>
              </w:rPr>
              <w:t xml:space="preserve">De los casos realmente "regulares", cuántos detecta el modelo.</w:t>
            </w:r>
          </w:p>
        </w:tc>
        <w:tc>
          <w:tcPr>
            <w:tcW w:type="dxa" w:w="3460"/>
            <w:tcMar>
              <w:top w:type="dxa" w:w="50"/>
              <w:left w:type="dxa" w:w="90"/>
              <w:bottom w:type="dxa" w:w="50"/>
              <w:right w:type="dxa" w:w="90"/>
            </w:tcMar>
            <w:vAlign w:val="center"/>
          </w:tcPr>
          <w:p>
            <w:pPr>
              <w:spacing w:after="20"/>
              <w:jc w:val="left"/>
            </w:pPr>
            <w:r>
              <w:rPr>
                <w:b w:val="false"/>
                <w:bCs w:val="false"/>
                <w:sz w:val="18"/>
                <w:szCs w:val="18"/>
              </w:rPr>
              <w:t xml:space="preserve">Es el escenario más costoso de no ver: llega con meta e inventario que no se vende.</w:t>
            </w:r>
          </w:p>
        </w:tc>
      </w:tr>
    </w:tbl>
    <w:p>
      <w:pPr>
        <w:pStyle w:val="Heading2"/>
      </w:pPr>
      <w:r>
        <w:t xml:space="preserve">5.2 Estabilidad de la validación cruzada</w:t>
      </w:r>
    </w:p>
    <w:p>
      <w:pPr>
        <w:spacing w:after="120" w:line="276"/>
      </w:pPr>
      <w:r>
        <w:t xml:space="preserve">El MAE del modelo A en el mercado va de 2,2 a 7,6 pp entre los 9 pliegues (media 4,6, desviación 1,7). En el Laboratorio va de 2,7 a 7,9 pp entre 5 pliegues (media 5,4, desviación 2,0). La variabilidad es alta frente al tamaño de las mejoras sobre las líneas base.</w:t>
      </w:r>
    </w:p>
    <w:p>
      <w:pPr>
        <w:keepNext/>
        <w:spacing w:after="60" w:before="160"/>
      </w:pPr>
      <w:r>
        <w:rPr>
          <w:b/>
          <w:bCs/>
          <w:color w:val="13201C"/>
          <w:sz w:val="19"/>
          <w:szCs w:val="19"/>
        </w:rPr>
        <w:t xml:space="preserve">Tabla 7. Error fuera de pliegue por especie del modelo A (MAE en pp, media y desviación)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360"/>
        <w:gridCol w:w="3000"/>
        <w:gridCol w:w="3000"/>
      </w:tblGrid>
      <w:tr>
        <w:trPr>
          <w:cantSplit/>
          <w:tblHeader/>
        </w:trPr>
        <w:tc>
          <w:tcPr>
            <w:tcW w:type="dxa" w:w="3360"/>
            <w:shd w:fill="E4EEEB" w:color="auto" w:val="clear"/>
            <w:tcMar>
              <w:top w:type="dxa" w:w="50"/>
              <w:left w:type="dxa" w:w="90"/>
              <w:bottom w:type="dxa" w:w="50"/>
              <w:right w:type="dxa" w:w="90"/>
            </w:tcMar>
            <w:vAlign w:val="center"/>
          </w:tcPr>
          <w:p>
            <w:pPr>
              <w:spacing w:after="20"/>
              <w:jc w:val="left"/>
            </w:pPr>
            <w:r>
              <w:rPr>
                <w:b/>
                <w:bCs/>
                <w:sz w:val="18"/>
                <w:szCs w:val="18"/>
              </w:rPr>
              <w:t xml:space="preserve">Especie</w:t>
            </w:r>
          </w:p>
        </w:tc>
        <w:tc>
          <w:tcPr>
            <w:tcW w:type="dxa" w:w="300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300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Animales de compañía</w:t>
            </w:r>
          </w:p>
        </w:tc>
        <w:tc>
          <w:tcPr>
            <w:tcW w:type="dxa" w:w="3000"/>
            <w:tcMar>
              <w:top w:type="dxa" w:w="50"/>
              <w:left w:type="dxa" w:w="90"/>
              <w:bottom w:type="dxa" w:w="50"/>
              <w:right w:type="dxa" w:w="90"/>
            </w:tcMar>
            <w:vAlign w:val="center"/>
          </w:tcPr>
          <w:p>
            <w:pPr>
              <w:spacing w:after="20"/>
              <w:jc w:val="right"/>
            </w:pPr>
            <w:r>
              <w:rPr>
                <w:sz w:val="18"/>
                <w:szCs w:val="18"/>
              </w:rPr>
              <w:t xml:space="preserve">5,4 ± 6,2</w:t>
            </w:r>
          </w:p>
        </w:tc>
        <w:tc>
          <w:tcPr>
            <w:tcW w:type="dxa" w:w="3000"/>
            <w:tcMar>
              <w:top w:type="dxa" w:w="50"/>
              <w:left w:type="dxa" w:w="90"/>
              <w:bottom w:type="dxa" w:w="50"/>
              <w:right w:type="dxa" w:w="90"/>
            </w:tcMar>
            <w:vAlign w:val="center"/>
          </w:tcPr>
          <w:p>
            <w:pPr>
              <w:spacing w:after="20"/>
              <w:jc w:val="right"/>
            </w:pPr>
            <w:r>
              <w:rPr>
                <w:sz w:val="18"/>
                <w:szCs w:val="18"/>
              </w:rPr>
              <w:t xml:space="preserve">8,9 ± 4,2</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Bovinos</w:t>
            </w:r>
          </w:p>
        </w:tc>
        <w:tc>
          <w:tcPr>
            <w:tcW w:type="dxa" w:w="3000"/>
            <w:tcMar>
              <w:top w:type="dxa" w:w="50"/>
              <w:left w:type="dxa" w:w="90"/>
              <w:bottom w:type="dxa" w:w="50"/>
              <w:right w:type="dxa" w:w="90"/>
            </w:tcMar>
            <w:vAlign w:val="center"/>
          </w:tcPr>
          <w:p>
            <w:pPr>
              <w:spacing w:after="20"/>
              <w:jc w:val="right"/>
            </w:pPr>
            <w:r>
              <w:rPr>
                <w:sz w:val="18"/>
                <w:szCs w:val="18"/>
              </w:rPr>
              <w:t xml:space="preserve">3,2 ± 2,2</w:t>
            </w:r>
          </w:p>
        </w:tc>
        <w:tc>
          <w:tcPr>
            <w:tcW w:type="dxa" w:w="3000"/>
            <w:tcMar>
              <w:top w:type="dxa" w:w="50"/>
              <w:left w:type="dxa" w:w="90"/>
              <w:bottom w:type="dxa" w:w="50"/>
              <w:right w:type="dxa" w:w="90"/>
            </w:tcMar>
            <w:vAlign w:val="center"/>
          </w:tcPr>
          <w:p>
            <w:pPr>
              <w:spacing w:after="20"/>
              <w:jc w:val="right"/>
            </w:pPr>
            <w:r>
              <w:rPr>
                <w:sz w:val="18"/>
                <w:szCs w:val="18"/>
              </w:rPr>
              <w:t xml:space="preserve">2,3 ± 2,0</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Aves</w:t>
            </w:r>
          </w:p>
        </w:tc>
        <w:tc>
          <w:tcPr>
            <w:tcW w:type="dxa" w:w="3000"/>
            <w:tcMar>
              <w:top w:type="dxa" w:w="50"/>
              <w:left w:type="dxa" w:w="90"/>
              <w:bottom w:type="dxa" w:w="50"/>
              <w:right w:type="dxa" w:w="90"/>
            </w:tcMar>
            <w:vAlign w:val="center"/>
          </w:tcPr>
          <w:p>
            <w:pPr>
              <w:spacing w:after="20"/>
              <w:jc w:val="right"/>
            </w:pPr>
            <w:r>
              <w:rPr>
                <w:sz w:val="18"/>
                <w:szCs w:val="18"/>
              </w:rPr>
              <w:t xml:space="preserve">4,7 ± 2,9</w:t>
            </w:r>
          </w:p>
        </w:tc>
        <w:tc>
          <w:tcPr>
            <w:tcW w:type="dxa" w:w="3000"/>
            <w:tcMar>
              <w:top w:type="dxa" w:w="50"/>
              <w:left w:type="dxa" w:w="90"/>
              <w:bottom w:type="dxa" w:w="50"/>
              <w:right w:type="dxa" w:w="90"/>
            </w:tcMar>
            <w:vAlign w:val="center"/>
          </w:tcPr>
          <w:p>
            <w:pPr>
              <w:spacing w:after="20"/>
              <w:jc w:val="right"/>
            </w:pPr>
            <w:r>
              <w:rPr>
                <w:sz w:val="18"/>
                <w:szCs w:val="18"/>
              </w:rPr>
              <w:t xml:space="preserve">4,4 ± 3,1</w:t>
            </w:r>
          </w:p>
        </w:tc>
      </w:tr>
      <w:tr>
        <w:trPr>
          <w:cantSplit/>
        </w:trPr>
        <w:tc>
          <w:tcPr>
            <w:tcW w:type="dxa" w:w="3360"/>
            <w:tcMar>
              <w:top w:type="dxa" w:w="50"/>
              <w:left w:type="dxa" w:w="90"/>
              <w:bottom w:type="dxa" w:w="50"/>
              <w:right w:type="dxa" w:w="90"/>
            </w:tcMar>
            <w:vAlign w:val="center"/>
          </w:tcPr>
          <w:p>
            <w:pPr>
              <w:spacing w:after="20"/>
              <w:jc w:val="left"/>
            </w:pPr>
            <w:r>
              <w:rPr>
                <w:sz w:val="18"/>
                <w:szCs w:val="18"/>
              </w:rPr>
              <w:t xml:space="preserve">Cerdos</w:t>
            </w:r>
          </w:p>
        </w:tc>
        <w:tc>
          <w:tcPr>
            <w:tcW w:type="dxa" w:w="3000"/>
            <w:tcMar>
              <w:top w:type="dxa" w:w="50"/>
              <w:left w:type="dxa" w:w="90"/>
              <w:bottom w:type="dxa" w:w="50"/>
              <w:right w:type="dxa" w:w="90"/>
            </w:tcMar>
            <w:vAlign w:val="center"/>
          </w:tcPr>
          <w:p>
            <w:pPr>
              <w:spacing w:after="20"/>
              <w:jc w:val="right"/>
            </w:pPr>
            <w:r>
              <w:rPr>
                <w:sz w:val="18"/>
                <w:szCs w:val="18"/>
              </w:rPr>
              <w:t xml:space="preserve">5,0 ± 4,0</w:t>
            </w:r>
          </w:p>
        </w:tc>
        <w:tc>
          <w:tcPr>
            <w:tcW w:type="dxa" w:w="3000"/>
            <w:tcMar>
              <w:top w:type="dxa" w:w="50"/>
              <w:left w:type="dxa" w:w="90"/>
              <w:bottom w:type="dxa" w:w="50"/>
              <w:right w:type="dxa" w:w="90"/>
            </w:tcMar>
            <w:vAlign w:val="center"/>
          </w:tcPr>
          <w:p>
            <w:pPr>
              <w:spacing w:after="20"/>
              <w:jc w:val="right"/>
            </w:pPr>
            <w:r>
              <w:rPr>
                <w:sz w:val="18"/>
                <w:szCs w:val="18"/>
              </w:rPr>
              <w:t xml:space="preserve">6,2 ± 3,7</w:t>
            </w:r>
          </w:p>
        </w:tc>
      </w:tr>
    </w:tbl>
    <w:p>
      <w:pPr>
        <w:spacing w:after="100"/>
      </w:pPr>
    </w:p>
    <w:p>
      <w:pPr>
        <w:pStyle w:val="Heading2"/>
      </w:pPr>
      <w:r>
        <w:t xml:space="preserve">5.3 Umbral de decisión recomendado</w:t>
      </w:r>
    </w:p>
    <w:p>
      <w:pPr>
        <w:spacing w:after="120" w:line="276"/>
      </w:pPr>
      <w:r>
        <w:t xml:space="preserve">Los umbrales de escenario (8% y 15%) son del negocio y no se modifican. Lo que sí se puede ajustar es cuánta prudencia se aplica antes de clasificar: se resta un descuento m a la predicción y luego se aplican los umbrales. El valor de m se eligió con las predicciones fuera de pliegue para minimizar el costo esperado.</w:t>
      </w:r>
    </w:p>
    <w:p>
      <w:pPr>
        <w:keepNext/>
        <w:spacing w:after="40" w:before="80"/>
        <w:jc w:val="center"/>
      </w:pPr>
      <w:r>
        <w:drawing>
          <wp:inline distT="0" distB="0" distL="0" distR="0">
            <wp:extent cx="5334000" cy="1971675"/>
            <wp:effectExtent t="0" r="0" b="0" l="0"/>
            <wp:docPr id="1" name="f4_umbral.png" descr="f4_umbral.png" title="f4_umb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71675"/>
                    </a:xfrm>
                    <a:prstGeom prst="rect">
                      <a:avLst/>
                    </a:prstGeom>
                  </pic:spPr>
                </pic:pic>
              </a:graphicData>
            </a:graphic>
          </wp:inline>
        </w:drawing>
      </w:r>
    </w:p>
    <w:p>
      <w:pPr>
        <w:spacing w:after="200" w:before="60"/>
      </w:pPr>
      <w:r>
        <w:rPr>
          <w:i/>
          <w:iCs/>
          <w:color w:val="5E6E69"/>
          <w:sz w:val="18"/>
          <w:szCs w:val="18"/>
        </w:rPr>
        <w:t xml:space="preserve">Figura 7. Costo medio por observación según el descuento de prudencia m (predicciones fuera de pliegue del entrenamiento).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4500"/>
        <w:gridCol w:w="2430"/>
        <w:gridCol w:w="2430"/>
      </w:tblGrid>
      <w:tr>
        <w:trPr>
          <w:cantSplit/>
          <w:tblHeader/>
        </w:trPr>
        <w:tc>
          <w:tcPr>
            <w:tcW w:type="dxa" w:w="4500"/>
            <w:shd w:fill="E4EEEB" w:color="auto" w:val="clear"/>
            <w:tcMar>
              <w:top w:type="dxa" w:w="50"/>
              <w:left w:type="dxa" w:w="90"/>
              <w:bottom w:type="dxa" w:w="50"/>
              <w:right w:type="dxa" w:w="90"/>
            </w:tcMar>
            <w:vAlign w:val="center"/>
          </w:tcPr>
          <w:p>
            <w:pPr>
              <w:spacing w:after="20"/>
              <w:jc w:val="left"/>
            </w:pPr>
          </w:p>
        </w:tc>
        <w:tc>
          <w:tcPr>
            <w:tcW w:type="dxa" w:w="2430"/>
            <w:shd w:fill="E4EEEB" w:color="auto" w:val="clear"/>
            <w:tcMar>
              <w:top w:type="dxa" w:w="50"/>
              <w:left w:type="dxa" w:w="90"/>
              <w:bottom w:type="dxa" w:w="50"/>
              <w:right w:type="dxa" w:w="90"/>
            </w:tcMar>
            <w:vAlign w:val="center"/>
          </w:tcPr>
          <w:p>
            <w:pPr>
              <w:spacing w:after="20"/>
              <w:jc w:val="right"/>
            </w:pPr>
            <w:r>
              <w:rPr>
                <w:b/>
                <w:bCs/>
                <w:sz w:val="18"/>
                <w:szCs w:val="18"/>
              </w:rPr>
              <w:t xml:space="preserve">Mercado</w:t>
            </w:r>
          </w:p>
        </w:tc>
        <w:tc>
          <w:tcPr>
            <w:tcW w:type="dxa" w:w="243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m recomendado por validación cruzada</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+1,5 pp</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−0,5 pp</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Costo medio con m = 0 (validación)</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1,14</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0,39</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Costo medio con el m recomendado (validación)</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0,56</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0,38</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Acierto en el examen con m = 0</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63%</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79%</w:t>
            </w:r>
          </w:p>
        </w:tc>
      </w:tr>
      <w:tr>
        <w:trPr>
          <w:cantSplit/>
        </w:trPr>
        <w:tc>
          <w:tcPr>
            <w:tcW w:type="dxa" w:w="4500"/>
            <w:tcMar>
              <w:top w:type="dxa" w:w="50"/>
              <w:left w:type="dxa" w:w="90"/>
              <w:bottom w:type="dxa" w:w="50"/>
              <w:right w:type="dxa" w:w="90"/>
            </w:tcMar>
            <w:vAlign w:val="center"/>
          </w:tcPr>
          <w:p>
            <w:pPr>
              <w:spacing w:after="20"/>
              <w:jc w:val="left"/>
            </w:pPr>
            <w:r>
              <w:rPr>
                <w:b/>
                <w:bCs/>
                <w:sz w:val="18"/>
                <w:szCs w:val="18"/>
              </w:rPr>
              <w:t xml:space="preserve">Acierto en el examen con el m recomendado</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8%</w:t>
            </w:r>
          </w:p>
        </w:tc>
        <w:tc>
          <w:tcPr>
            <w:tcW w:type="dxa" w:w="2430"/>
            <w:tcMar>
              <w:top w:type="dxa" w:w="50"/>
              <w:left w:type="dxa" w:w="90"/>
              <w:bottom w:type="dxa" w:w="50"/>
              <w:right w:type="dxa" w:w="90"/>
            </w:tcMar>
            <w:vAlign w:val="center"/>
          </w:tcPr>
          <w:p>
            <w:pPr>
              <w:spacing w:after="20"/>
              <w:jc w:val="right"/>
            </w:pPr>
            <w:r>
              <w:rPr>
                <w:b w:val="false"/>
                <w:bCs w:val="false"/>
                <w:sz w:val="18"/>
                <w:szCs w:val="18"/>
              </w:rPr>
              <w:t xml:space="preserve">75%</w:t>
            </w:r>
          </w:p>
        </w:tc>
      </w:tr>
    </w:tbl>
    <w:p>
      <w:pPr>
        <w:spacing w:after="100"/>
      </w:pPr>
    </w:p>
    <w:p>
      <w:pPr>
        <w:spacing w:after="120" w:line="276"/>
      </w:pPr>
      <w:r>
        <w:rPr>
          <w:b/>
          <w:bCs/>
        </w:rPr>
        <w:t xml:space="preserve">Recomendación sobre el umbral:</w:t>
      </w:r>
      <w:r>
        <w:t xml:space="preserve"> no adoptar ningún descuento de prudencia por ahora. La mejora esperada en validación es pequeña, y en el examen el m recomendado empeoró la clasificación (mercado: acierto de 63% a 8%; Laboratorio: de 79% a 75%). Se mantienen los umbrales de 8% y 15% y se muestra siempre el margen de error junto a cada escenario. El valor de m debe recalcularse con los datos de julio a diciembre de 2026. Esta recomendación se apoya en el examen solo como advertencia; no se usó para modificar el protocolo.</w:t>
      </w:r>
    </w:p>
    <w:p>
      <w:pPr>
        <w:pStyle w:val="Heading2"/>
      </w:pPr>
      <w:r>
        <w:t xml:space="preserve">5.4 Diagnóstico de sesgo y varianza</w:t>
      </w:r>
    </w:p>
    <w:p>
      <w:pPr>
        <w:keepNext/>
        <w:spacing w:after="40" w:before="80"/>
        <w:jc w:val="center"/>
      </w:pPr>
      <w:r>
        <w:drawing>
          <wp:inline distT="0" distB="0" distL="0" distR="0">
            <wp:extent cx="5334000" cy="1971675"/>
            <wp:effectExtent t="0" r="0" b="0" l="0"/>
            <wp:docPr id="1" name="f3_aprendizaje.png" descr="f3_aprendizaje.png" title="f3_aprendiz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971675"/>
                    </a:xfrm>
                    <a:prstGeom prst="rect">
                      <a:avLst/>
                    </a:prstGeom>
                  </pic:spPr>
                </pic:pic>
              </a:graphicData>
            </a:graphic>
          </wp:inline>
        </w:drawing>
      </w:r>
    </w:p>
    <w:p>
      <w:pPr>
        <w:spacing w:after="200" w:before="60"/>
      </w:pPr>
      <w:r>
        <w:rPr>
          <w:i/>
          <w:iCs/>
          <w:color w:val="5E6E69"/>
          <w:sz w:val="18"/>
          <w:szCs w:val="18"/>
        </w:rPr>
        <w:t xml:space="preserve">Figura 8. Curvas de aprendizaje del modelo A: error en los meses de entrenamiento y en meses retenidos, según la cantidad de meses usados para entrenar.</w:t>
      </w:r>
    </w:p>
    <w:p>
      <w:pPr>
        <w:pStyle w:val="ListParagraph"/>
        <w:numPr>
          <w:ilvl w:val="0"/>
          <w:numId w:val="2"/>
        </w:numPr>
        <w:spacing w:after="60" w:line="264"/>
      </w:pPr>
      <w:r>
        <w:rPr>
          <w:b/>
          <w:bCs/>
        </w:rPr>
        <w:t xml:space="preserve">Mercado.</w:t>
      </w:r>
      <w:r>
        <w:t xml:space="preserve"> Con 36 meses el error en entrenamiento es 4,5 pp y en meses retenidos 4,8 pp; con 6 meses era 5,7 y 6,0. Las dos curvas se acercan y quedan altas: el modelo regularizado tiene </w:t>
      </w:r>
      <w:r>
        <w:rPr>
          <w:b/>
          <w:bCs/>
        </w:rPr>
        <w:t xml:space="preserve">sesgo alto y poca varianza</w:t>
      </w:r>
      <w:r>
        <w:t xml:space="preserve">; más datos no cambiarían mucho su error. Es lo esperable si casi no usa las variables.</w:t>
      </w:r>
    </w:p>
    <w:p>
      <w:pPr>
        <w:pStyle w:val="ListParagraph"/>
        <w:numPr>
          <w:ilvl w:val="0"/>
          <w:numId w:val="2"/>
        </w:numPr>
        <w:spacing w:after="60" w:line="264"/>
      </w:pPr>
      <w:r>
        <w:rPr>
          <w:b/>
          <w:bCs/>
        </w:rPr>
        <w:t xml:space="preserve">Compromiso sesgo-varianza.</w:t>
      </w:r>
      <w:r>
        <w:t xml:space="preserve"> Con poca regularización el modelo se sobreajusta (en el mercado, Ridge común con alpha = 0,001 tiene 2,9 pp en entrenamiento y 8,5 en validación); con alpha = 1 tiene 4,5 y 4,6.</w:t>
      </w:r>
    </w:p>
    <w:p>
      <w:pPr>
        <w:pStyle w:val="ListParagraph"/>
        <w:numPr>
          <w:ilvl w:val="0"/>
          <w:numId w:val="2"/>
        </w:numPr>
        <w:spacing w:after="60" w:line="264"/>
      </w:pPr>
      <w:r>
        <w:rPr>
          <w:b/>
          <w:bCs/>
        </w:rPr>
        <w:t xml:space="preserve">Gradient Boosting</w:t>
      </w:r>
      <w:r>
        <w:t xml:space="preserve"> muestra el patrón contrario: error de entrenamiento de 1,26 pp con 400 iteraciones frente a 4,53 en validación: alta varianza, que se controla con pocas iteraciones (50) y árboles poco profundos.</w:t>
      </w:r>
    </w:p>
    <w:p>
      <w:pPr>
        <w:pStyle w:val="ListParagraph"/>
        <w:numPr>
          <w:ilvl w:val="0"/>
          <w:numId w:val="2"/>
        </w:numPr>
        <w:spacing w:after="60" w:line="264"/>
      </w:pPr>
      <w:r>
        <w:rPr>
          <w:b/>
          <w:bCs/>
        </w:rPr>
        <w:t xml:space="preserve">Laboratorio.</w:t>
      </w:r>
      <w:r>
        <w:t xml:space="preserve"> Entrenamiento 2,6 pp y meses retenidos 6,0 pp con 16 meses de entrenamiento; la curva no se estabiliza con tan pocos meses, así que el diagnóstico es menos confiable.</w:t>
      </w:r>
    </w:p>
    <w:p>
      <w:pPr>
        <w:pStyle w:val="Heading2"/>
      </w:pPr>
      <w:r>
        <w:t xml:space="preserve">5.5 Resultados en el examen (enero a junio de 2026)</w:t>
      </w:r>
    </w:p>
    <w:p>
      <w:pPr>
        <w:spacing w:after="120" w:line="276"/>
      </w:pPr>
      <w:r>
        <w:t xml:space="preserve">Todas las cifras son errores en puntos porcentuales de crecimiento de 12 meses sobre 24 observaciones (6 meses × 4 especies, con ventanas solapadas: el número efectivo de observaciones independientes es mucho menor). El laboratorio se evaluó con el crecimiento del mercado proyectado por el modelo de mercado, que es lo que ocurrirá en 2027.</w:t>
      </w:r>
    </w:p>
    <w:p>
      <w:pPr>
        <w:keepNext/>
        <w:spacing w:after="60" w:before="160"/>
      </w:pPr>
      <w:r>
        <w:rPr>
          <w:b/>
          <w:bCs/>
          <w:color w:val="13201C"/>
          <w:sz w:val="19"/>
          <w:szCs w:val="19"/>
        </w:rPr>
        <w:t xml:space="preserve">Tabla 8. Examen: consulta principal</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200"/>
        <w:gridCol w:w="1500"/>
        <w:gridCol w:w="1500"/>
        <w:gridCol w:w="1660"/>
        <w:gridCol w:w="1500"/>
      </w:tblGrid>
      <w:tr>
        <w:trPr>
          <w:cantSplit/>
          <w:tblHeader/>
        </w:trPr>
        <w:tc>
          <w:tcPr>
            <w:tcW w:type="dxa" w:w="32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Mercado: MAE</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Mercado: R²</w:t>
            </w:r>
          </w:p>
        </w:tc>
        <w:tc>
          <w:tcPr>
            <w:tcW w:type="dxa" w:w="166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MAE</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R²</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Modelo A (elegido por la regla)</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9,2</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-0,02</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4,4</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0,43</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Modelo B (Gradient Boosting)</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7,2</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0,42</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3,7</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0,59</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Base 2: promedio de la especie</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8,7</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0,22</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4,1</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0,43</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Base 1: crecimiento de hace 12 meses</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8,4</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6,3</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w:t>
            </w:r>
          </w:p>
        </w:tc>
      </w:tr>
    </w:tbl>
    <w:p>
      <w:pPr>
        <w:keepNext/>
        <w:spacing w:after="60" w:before="160"/>
      </w:pPr>
      <w:r>
        <w:rPr>
          <w:b/>
          <w:bCs/>
          <w:color w:val="13201C"/>
          <w:sz w:val="19"/>
          <w:szCs w:val="19"/>
        </w:rPr>
        <w:t xml:space="preserve">Tabla 9. Examen: consulta complementaria posterior, solo informativa (K vecinos, Random Forest y regresión lineal)</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200"/>
        <w:gridCol w:w="1500"/>
        <w:gridCol w:w="1500"/>
        <w:gridCol w:w="1660"/>
        <w:gridCol w:w="1500"/>
      </w:tblGrid>
      <w:tr>
        <w:trPr>
          <w:cantSplit/>
          <w:tblHeader/>
        </w:trPr>
        <w:tc>
          <w:tcPr>
            <w:tcW w:type="dxa" w:w="3200"/>
            <w:shd w:fill="E4EEEB" w:color="auto" w:val="clear"/>
            <w:tcMar>
              <w:top w:type="dxa" w:w="50"/>
              <w:left w:type="dxa" w:w="90"/>
              <w:bottom w:type="dxa" w:w="50"/>
              <w:right w:type="dxa" w:w="90"/>
            </w:tcMar>
            <w:vAlign w:val="center"/>
          </w:tcPr>
          <w:p>
            <w:pPr>
              <w:spacing w:after="20"/>
              <w:jc w:val="left"/>
            </w:pPr>
            <w:r>
              <w:rPr>
                <w:b/>
                <w:bCs/>
                <w:sz w:val="18"/>
                <w:szCs w:val="18"/>
              </w:rPr>
              <w:t xml:space="preserve">Modelo</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Mercado: MAE</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Mercado: R²</w:t>
            </w:r>
          </w:p>
        </w:tc>
        <w:tc>
          <w:tcPr>
            <w:tcW w:type="dxa" w:w="166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MAE</w:t>
            </w:r>
          </w:p>
        </w:tc>
        <w:tc>
          <w:tcPr>
            <w:tcW w:type="dxa" w:w="150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R²</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K vecinos más cercanos</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5,9</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0,51</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5,4</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0,22</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Random Forest</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7,7</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0,37</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3,6</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0,58</w:t>
            </w:r>
          </w:p>
        </w:tc>
      </w:tr>
      <w:tr>
        <w:trPr>
          <w:cantSplit/>
        </w:trPr>
        <w:tc>
          <w:tcPr>
            <w:tcW w:type="dxa" w:w="3200"/>
            <w:tcMar>
              <w:top w:type="dxa" w:w="50"/>
              <w:left w:type="dxa" w:w="90"/>
              <w:bottom w:type="dxa" w:w="50"/>
              <w:right w:type="dxa" w:w="90"/>
            </w:tcMar>
            <w:vAlign w:val="center"/>
          </w:tcPr>
          <w:p>
            <w:pPr>
              <w:spacing w:after="20"/>
              <w:jc w:val="left"/>
            </w:pPr>
            <w:r>
              <w:rPr>
                <w:b/>
                <w:bCs/>
                <w:sz w:val="18"/>
                <w:szCs w:val="18"/>
              </w:rPr>
              <w:t xml:space="preserve">Regresión lineal</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15,2</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-1,74</w:t>
            </w:r>
          </w:p>
        </w:tc>
        <w:tc>
          <w:tcPr>
            <w:tcW w:type="dxa" w:w="1660"/>
            <w:tcMar>
              <w:top w:type="dxa" w:w="50"/>
              <w:left w:type="dxa" w:w="90"/>
              <w:bottom w:type="dxa" w:w="50"/>
              <w:right w:type="dxa" w:w="90"/>
            </w:tcMar>
            <w:vAlign w:val="center"/>
          </w:tcPr>
          <w:p>
            <w:pPr>
              <w:spacing w:after="20"/>
              <w:jc w:val="right"/>
            </w:pPr>
            <w:r>
              <w:rPr>
                <w:b w:val="false"/>
                <w:bCs w:val="false"/>
                <w:sz w:val="18"/>
                <w:szCs w:val="18"/>
              </w:rPr>
              <w:t xml:space="preserve">11,2</w:t>
            </w:r>
          </w:p>
        </w:tc>
        <w:tc>
          <w:tcPr>
            <w:tcW w:type="dxa" w:w="1500"/>
            <w:tcMar>
              <w:top w:type="dxa" w:w="50"/>
              <w:left w:type="dxa" w:w="90"/>
              <w:bottom w:type="dxa" w:w="50"/>
              <w:right w:type="dxa" w:w="90"/>
            </w:tcMar>
            <w:vAlign w:val="center"/>
          </w:tcPr>
          <w:p>
            <w:pPr>
              <w:spacing w:after="20"/>
              <w:jc w:val="right"/>
            </w:pPr>
            <w:r>
              <w:rPr>
                <w:b w:val="false"/>
                <w:bCs w:val="false"/>
                <w:sz w:val="18"/>
                <w:szCs w:val="18"/>
              </w:rPr>
              <w:t xml:space="preserve">-2,25</w:t>
            </w:r>
          </w:p>
        </w:tc>
      </w:tr>
    </w:tbl>
    <w:p>
      <w:pPr>
        <w:keepNext/>
        <w:spacing w:after="40" w:before="80"/>
        <w:jc w:val="center"/>
      </w:pPr>
      <w:r>
        <w:drawing>
          <wp:inline distT="0" distB="0" distL="0" distR="0">
            <wp:extent cx="5715000" cy="2000250"/>
            <wp:effectExtent t="0" r="0" b="0" l="0"/>
            <wp:docPr id="1" name="f5_prueba_mercado.png" descr="f5_prueba_mercado.png" title="f5_prueba_merc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00250"/>
                    </a:xfrm>
                    <a:prstGeom prst="rect">
                      <a:avLst/>
                    </a:prstGeom>
                  </pic:spPr>
                </pic:pic>
              </a:graphicData>
            </a:graphic>
          </wp:inline>
        </w:drawing>
      </w:r>
    </w:p>
    <w:p>
      <w:pPr>
        <w:spacing w:after="200" w:before="60"/>
      </w:pPr>
      <w:r>
        <w:rPr>
          <w:i/>
          <w:iCs/>
          <w:color w:val="5E6E69"/>
          <w:sz w:val="18"/>
          <w:szCs w:val="18"/>
        </w:rPr>
        <w:t xml:space="preserve">Figura 9. Mercado: crecimiento de 12 meses real y predicho por los modelos A y B, por especie. Líneas punteadas grises: umbrales de 8% y 15%.</w:t>
      </w:r>
    </w:p>
    <w:p>
      <w:pPr>
        <w:keepNext/>
        <w:spacing w:after="40" w:before="80"/>
        <w:jc w:val="center"/>
      </w:pPr>
      <w:r>
        <w:drawing>
          <wp:inline distT="0" distB="0" distL="0" distR="0">
            <wp:extent cx="5715000" cy="2028825"/>
            <wp:effectExtent t="0" r="0" b="0" l="0"/>
            <wp:docPr id="1" name="f5_prueba_lab.png" descr="f5_prueba_lab.png" title="f5_prueba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028825"/>
                    </a:xfrm>
                    <a:prstGeom prst="rect">
                      <a:avLst/>
                    </a:prstGeom>
                  </pic:spPr>
                </pic:pic>
              </a:graphicData>
            </a:graphic>
          </wp:inline>
        </w:drawing>
      </w:r>
    </w:p>
    <w:p>
      <w:pPr>
        <w:spacing w:after="200" w:before="60"/>
      </w:pPr>
      <w:r>
        <w:rPr>
          <w:i/>
          <w:iCs/>
          <w:color w:val="5E6E69"/>
          <w:sz w:val="18"/>
          <w:szCs w:val="18"/>
        </w:rPr>
        <w:t xml:space="preserve">Figura 10. Laboratorio: crecimiento de 12 meses real y predicho por los modelos A y B, por especie.</w:t>
      </w:r>
    </w:p>
    <w:p>
      <w:pPr>
        <w:pStyle w:val="ListParagraph"/>
        <w:numPr>
          <w:ilvl w:val="0"/>
          <w:numId w:val="2"/>
        </w:numPr>
        <w:spacing w:after="60" w:line="264"/>
      </w:pPr>
      <w:r>
        <w:rPr>
          <w:b/>
          <w:bCs/>
        </w:rPr>
        <w:t xml:space="preserve">Mercado.</w:t>
      </w:r>
      <w:r>
        <w:t xml:space="preserve"> El modelo A (9,2 pp) no mejora a las líneas base (8,7 y 8,4). Por especie: Animales de compañía 4,1; Bovinos 6,4; Aves 17,9; Cerdos 8,6 pp. Aves explica la mayor parte: el modelo predice crecimiento positivo y el mercado cayó. Gradient Boosting reduce el error a 7,2 (R² 0,42); K vecinos, a 5,9.</w:t>
      </w:r>
    </w:p>
    <w:p>
      <w:pPr>
        <w:pStyle w:val="ListParagraph"/>
        <w:numPr>
          <w:ilvl w:val="0"/>
          <w:numId w:val="2"/>
        </w:numPr>
        <w:spacing w:after="60" w:line="264"/>
      </w:pPr>
      <w:r>
        <w:rPr>
          <w:b/>
          <w:bCs/>
        </w:rPr>
        <w:t xml:space="preserve">Detección de escenarios.</w:t>
      </w:r>
      <w:r>
        <w:t xml:space="preserve"> En el mercado, el modelo A acertó 63% de los escenarios y no detectó ningún caso "regular" (7 casos reales, seis de ellos de aves); la base 2 acertó 38%. No debe usarse como alarma de bajo crecimiento.</w:t>
      </w:r>
    </w:p>
    <w:p>
      <w:pPr>
        <w:pStyle w:val="ListParagraph"/>
        <w:numPr>
          <w:ilvl w:val="0"/>
          <w:numId w:val="2"/>
        </w:numPr>
        <w:spacing w:after="60" w:line="264"/>
      </w:pPr>
      <w:r>
        <w:rPr>
          <w:b/>
          <w:bCs/>
        </w:rPr>
        <w:t xml:space="preserve">Laboratorio.</w:t>
      </w:r>
      <w:r>
        <w:t xml:space="preserve"> El modelo A (4,4 pp) mejora la base 1 (6,3) pero no la base 2 (4,1). En clasificación acierta 79% (costo 0,38) y la base 2 83% (costo 0,17). Gradient Boosting (3,7 pp) y Random Forest (3,6) tienen el menor error.</w:t>
      </w:r>
    </w:p>
    <w:p>
      <w:pPr>
        <w:pStyle w:val="ListParagraph"/>
        <w:numPr>
          <w:ilvl w:val="0"/>
          <w:numId w:val="2"/>
        </w:numPr>
        <w:spacing w:after="60" w:line="264"/>
      </w:pPr>
      <w:r>
        <w:rPr>
          <w:b/>
          <w:bCs/>
        </w:rPr>
        <w:t xml:space="preserve">Lectura prudente.</w:t>
      </w:r>
      <w:r>
        <w:t xml:space="preserve"> Gradient Boosting, K vecinos y Random Forest rindieron mejor que el modelo elegido, pero se miraron después del examen o sobre el mismo examen. Cuando se comparan varios modelos sobre los mismos datos, el que gana en parte lo hace por suerte. La regresión lineal sin regularizar queda muy por detrás, como en validación.</w:t>
      </w:r>
    </w:p>
    <w:p>
      <w:pPr>
        <w:pStyle w:val="Heading1"/>
        <w:spacing w:after="200" w:before="480"/>
      </w:pPr>
      <w:r>
        <w:t xml:space="preserve">6. Decisión, límites y gobernanza</w:t>
      </w:r>
    </w:p>
    <w:p>
      <w:pPr>
        <w:pStyle w:val="Heading2"/>
      </w:pPr>
      <w:r>
        <w:t xml:space="preserve">6.1 Recomendación</w:t>
      </w:r>
    </w:p>
    <w:p>
      <w:pPr>
        <w:pBdr>
          <w:left w:val="single" w:color="0B5D4F" w:sz="24" w:space="8"/>
        </w:pBdr>
        <w:shd w:fill="EEF5F3" w:color="auto" w:val="clear"/>
        <w:spacing w:after="160" w:before="80" w:line="276"/>
        <w:ind w:left="160" w:right="80"/>
      </w:pPr>
      <w:r>
        <w:rPr>
          <w:b/>
          <w:bCs/>
        </w:rPr>
        <w:t xml:space="preserve">Recomendación para quien decide:</w:t>
      </w:r>
      <w:r>
        <w:t xml:space="preserve"> usar la proyección 2027 como </w:t>
      </w:r>
      <w:r>
        <w:rPr>
          <w:b/>
          <w:bCs/>
        </w:rPr>
        <w:t xml:space="preserve">referencia con rango entre los modelos A y B</w:t>
      </w:r>
      <w:r>
        <w:t xml:space="preserve">, para el presupuesto y la planeación de inventarios, y no como meta ni como base de compensación. Probar el plan con un margen de ±6 puntos alrededor de la proyección del mercado y de ±6 alrededor de la del Laboratorio (margen típico de error). No fijar metas por especie con estas cifras sin revisarlas con el equipo comercial, sobre todo en bovinos.</w:t>
      </w:r>
    </w:p>
    <w:p>
      <w:pPr>
        <w:pStyle w:val="ListParagraph"/>
        <w:numPr>
          <w:ilvl w:val="0"/>
          <w:numId w:val="4"/>
        </w:numPr>
        <w:spacing w:after="60" w:line="264"/>
      </w:pPr>
      <w:r>
        <w:rPr>
          <w:b/>
          <w:bCs/>
        </w:rPr>
        <w:t xml:space="preserve">Aprobar el uso como insumo, no como compromiso.</w:t>
      </w:r>
      <w:r>
        <w:t xml:space="preserve"> El modelo A no superó a los métodos sencillos en el examen; el B sí, pero no está confirmado.</w:t>
      </w:r>
    </w:p>
    <w:p>
      <w:pPr>
        <w:pStyle w:val="ListParagraph"/>
        <w:numPr>
          <w:ilvl w:val="0"/>
          <w:numId w:val="4"/>
        </w:numPr>
        <w:spacing w:after="60" w:line="264"/>
      </w:pPr>
      <w:r>
        <w:rPr>
          <w:b/>
          <w:bCs/>
        </w:rPr>
        <w:t xml:space="preserve">No actuar sobre la alerta de escenario "regular".</w:t>
      </w:r>
      <w:r>
        <w:t xml:space="preserve"> El modelo no la detecta en el mercado.</w:t>
      </w:r>
    </w:p>
    <w:p>
      <w:pPr>
        <w:pStyle w:val="ListParagraph"/>
        <w:numPr>
          <w:ilvl w:val="0"/>
          <w:numId w:val="4"/>
        </w:numPr>
        <w:spacing w:after="60" w:line="264"/>
      </w:pPr>
      <w:r>
        <w:rPr>
          <w:b/>
          <w:bCs/>
        </w:rPr>
        <w:t xml:space="preserve">Revalidar en el primer trimestre de 2027</w:t>
      </w:r>
      <w:r>
        <w:t xml:space="preserve"> con los datos reales de julio a diciembre de 2026, que son el examen verdaderamente nuevo, y decidir entonces si el modelo B reemplaza al A.</w:t>
      </w:r>
    </w:p>
    <w:p>
      <w:pPr>
        <w:pStyle w:val="ListParagraph"/>
        <w:numPr>
          <w:ilvl w:val="0"/>
          <w:numId w:val="4"/>
        </w:numPr>
        <w:spacing w:after="60" w:line="264"/>
      </w:pPr>
      <w:r>
        <w:rPr>
          <w:b/>
          <w:bCs/>
        </w:rPr>
        <w:t xml:space="preserve">Alimentar el simulador con pronósticos oficiales</w:t>
      </w:r>
      <w:r>
        <w:t xml:space="preserve"> de inflación, PIB y salario mínimo 2027 y actualizarlos cuando cambien.</w:t>
      </w:r>
    </w:p>
    <w:p>
      <w:pPr>
        <w:pStyle w:val="ListParagraph"/>
        <w:numPr>
          <w:ilvl w:val="0"/>
          <w:numId w:val="4"/>
        </w:numPr>
        <w:spacing w:after="60" w:line="264"/>
      </w:pPr>
      <w:r>
        <w:rPr>
          <w:b/>
          <w:bCs/>
        </w:rPr>
        <w:t xml:space="preserve">Reunir más historia y más variables</w:t>
      </w:r>
      <w:r>
        <w:t xml:space="preserve"> (precios por producto, canales, eventos sanitarios) antes de pedirle al modelo efectos causales.</w:t>
      </w:r>
    </w:p>
    <w:p>
      <w:pPr>
        <w:pStyle w:val="Heading2"/>
      </w:pPr>
      <w:r>
        <w:t xml:space="preserve">6.2 Proyección 2027, escenario base</w:t>
      </w:r>
    </w:p>
    <w:p>
      <w:pPr>
        <w:spacing w:after="120" w:line="276"/>
      </w:pPr>
      <w:r>
        <w:t xml:space="preserve">Valores base de 2027: inflación 5,1% (mediana de la encuesta de analistas del Banco de la República para diciembre de 2027; el equipo técnico del Banco proyecta 4,3% y el Gobierno 4,8%), PIB 2,3% (BBVA Research; consenso de analistas entre 1,8% y 2,6%), PIB agropecuario 2,7% y salario mínimo 11,9% (promedios históricos, sin pronóstico público) y precios en su nivel de junio de 2026 durante 2027. Las cifras de inflación y PIB provienen de reportes de prensa y de análisis; no pudieron verificarse en las páginas oficiales. </w:t>
      </w:r>
      <w:r>
        <w:rPr>
          <w:highlight w:val="yellow"/>
          <w:highlightCs w:val="yellow"/>
        </w:rPr>
        <w:t xml:space="preserve">[Confirmar contra fuentes oficiales]</w:t>
      </w:r>
      <w:r>
        <w:t xml:space="preserve">.</w:t>
      </w:r>
    </w:p>
    <w:p>
      <w:pPr>
        <w:keepNext/>
        <w:spacing w:after="60" w:before="160"/>
      </w:pPr>
      <w:r>
        <w:rPr>
          <w:b/>
          <w:bCs/>
          <w:color w:val="13201C"/>
          <w:sz w:val="19"/>
          <w:szCs w:val="19"/>
        </w:rPr>
        <w:t xml:space="preserve">Tabla 10. Crecimiento nominal proyectado 2027 (escenario base)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000"/>
        <w:gridCol w:w="1300"/>
        <w:gridCol w:w="1300"/>
        <w:gridCol w:w="1450"/>
        <w:gridCol w:w="1450"/>
        <w:gridCol w:w="1860"/>
      </w:tblGrid>
      <w:tr>
        <w:trPr>
          <w:cantSplit/>
          <w:tblHeader/>
        </w:trPr>
        <w:tc>
          <w:tcPr>
            <w:tcW w:type="dxa" w:w="2000"/>
            <w:shd w:fill="E4EEEB" w:color="auto" w:val="clear"/>
            <w:tcMar>
              <w:top w:type="dxa" w:w="50"/>
              <w:left w:type="dxa" w:w="90"/>
              <w:bottom w:type="dxa" w:w="50"/>
              <w:right w:type="dxa" w:w="90"/>
            </w:tcMar>
            <w:vAlign w:val="center"/>
          </w:tcPr>
          <w:p>
            <w:pPr>
              <w:spacing w:after="20"/>
              <w:jc w:val="left"/>
            </w:pPr>
            <w:r>
              <w:rPr>
                <w:b/>
                <w:bCs/>
                <w:sz w:val="18"/>
                <w:szCs w:val="18"/>
              </w:rPr>
              <w:t xml:space="preserve">Especie</w:t>
            </w:r>
          </w:p>
        </w:tc>
        <w:tc>
          <w:tcPr>
            <w:tcW w:type="dxa" w:w="1300"/>
            <w:shd w:fill="E4EEEB" w:color="auto" w:val="clear"/>
            <w:tcMar>
              <w:top w:type="dxa" w:w="50"/>
              <w:left w:type="dxa" w:w="90"/>
              <w:bottom w:type="dxa" w:w="50"/>
              <w:right w:type="dxa" w:w="90"/>
            </w:tcMar>
            <w:vAlign w:val="center"/>
          </w:tcPr>
          <w:p>
            <w:pPr>
              <w:spacing w:after="20"/>
              <w:jc w:val="right"/>
            </w:pPr>
            <w:r>
              <w:rPr>
                <w:b/>
                <w:bCs/>
                <w:sz w:val="18"/>
                <w:szCs w:val="18"/>
              </w:rPr>
              <w:t xml:space="preserve">Mercado A</w:t>
            </w:r>
          </w:p>
        </w:tc>
        <w:tc>
          <w:tcPr>
            <w:tcW w:type="dxa" w:w="1300"/>
            <w:shd w:fill="E4EEEB" w:color="auto" w:val="clear"/>
            <w:tcMar>
              <w:top w:type="dxa" w:w="50"/>
              <w:left w:type="dxa" w:w="90"/>
              <w:bottom w:type="dxa" w:w="50"/>
              <w:right w:type="dxa" w:w="90"/>
            </w:tcMar>
            <w:vAlign w:val="center"/>
          </w:tcPr>
          <w:p>
            <w:pPr>
              <w:spacing w:after="20"/>
              <w:jc w:val="right"/>
            </w:pPr>
            <w:r>
              <w:rPr>
                <w:b/>
                <w:bCs/>
                <w:sz w:val="18"/>
                <w:szCs w:val="18"/>
              </w:rPr>
              <w:t xml:space="preserve">Mercado B</w:t>
            </w:r>
          </w:p>
        </w:tc>
        <w:tc>
          <w:tcPr>
            <w:tcW w:type="dxa" w:w="145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A</w:t>
            </w:r>
          </w:p>
        </w:tc>
        <w:tc>
          <w:tcPr>
            <w:tcW w:type="dxa" w:w="1450"/>
            <w:shd w:fill="E4EEEB" w:color="auto" w:val="clear"/>
            <w:tcMar>
              <w:top w:type="dxa" w:w="50"/>
              <w:left w:type="dxa" w:w="90"/>
              <w:bottom w:type="dxa" w:w="50"/>
              <w:right w:type="dxa" w:w="90"/>
            </w:tcMar>
            <w:vAlign w:val="center"/>
          </w:tcPr>
          <w:p>
            <w:pPr>
              <w:spacing w:after="20"/>
              <w:jc w:val="right"/>
            </w:pPr>
            <w:r>
              <w:rPr>
                <w:b/>
                <w:bCs/>
                <w:sz w:val="18"/>
                <w:szCs w:val="18"/>
              </w:rPr>
              <w:t xml:space="preserve">Laboratorio B</w:t>
            </w:r>
          </w:p>
        </w:tc>
        <w:tc>
          <w:tcPr>
            <w:tcW w:type="dxa" w:w="1860"/>
            <w:shd w:fill="E4EEEB" w:color="auto" w:val="clear"/>
            <w:tcMar>
              <w:top w:type="dxa" w:w="50"/>
              <w:left w:type="dxa" w:w="90"/>
              <w:bottom w:type="dxa" w:w="50"/>
              <w:right w:type="dxa" w:w="90"/>
            </w:tcMar>
            <w:vAlign w:val="center"/>
          </w:tcPr>
          <w:p>
            <w:pPr>
              <w:spacing w:after="20"/>
              <w:jc w:val="left"/>
            </w:pPr>
            <w:r>
              <w:rPr>
                <w:b/>
                <w:bCs/>
                <w:sz w:val="18"/>
                <w:szCs w:val="18"/>
              </w:rPr>
              <w:t xml:space="preserve">Error típico mercado / Lab. (pp)</w:t>
            </w:r>
          </w:p>
        </w:tc>
      </w:tr>
      <w:tr>
        <w:trPr>
          <w:cantSplit/>
        </w:trPr>
        <w:tc>
          <w:tcPr>
            <w:tcW w:type="dxa" w:w="2000"/>
            <w:tcMar>
              <w:top w:type="dxa" w:w="50"/>
              <w:left w:type="dxa" w:w="90"/>
              <w:bottom w:type="dxa" w:w="50"/>
              <w:right w:type="dxa" w:w="90"/>
            </w:tcMar>
            <w:vAlign w:val="center"/>
          </w:tcPr>
          <w:p>
            <w:pPr>
              <w:spacing w:after="20"/>
              <w:jc w:val="left"/>
            </w:pPr>
            <w:r>
              <w:rPr>
                <w:b/>
                <w:bCs/>
                <w:sz w:val="18"/>
                <w:szCs w:val="18"/>
              </w:rPr>
              <w:t xml:space="preserve">Animales de compañía</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15,4%</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14,1%</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21,6%</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21,8%</w:t>
            </w:r>
          </w:p>
        </w:tc>
        <w:tc>
          <w:tcPr>
            <w:tcW w:type="dxa" w:w="1860"/>
            <w:tcMar>
              <w:top w:type="dxa" w:w="50"/>
              <w:left w:type="dxa" w:w="90"/>
              <w:bottom w:type="dxa" w:w="50"/>
              <w:right w:type="dxa" w:w="90"/>
            </w:tcMar>
            <w:vAlign w:val="center"/>
          </w:tcPr>
          <w:p>
            <w:pPr>
              <w:spacing w:after="20"/>
              <w:jc w:val="left"/>
            </w:pPr>
            <w:r>
              <w:rPr>
                <w:b w:val="false"/>
                <w:bCs w:val="false"/>
                <w:sz w:val="18"/>
                <w:szCs w:val="18"/>
              </w:rPr>
              <w:t xml:space="preserve">±4,7 / ±8,2</w:t>
            </w:r>
          </w:p>
        </w:tc>
      </w:tr>
      <w:tr>
        <w:trPr>
          <w:cantSplit/>
        </w:trPr>
        <w:tc>
          <w:tcPr>
            <w:tcW w:type="dxa" w:w="2000"/>
            <w:tcMar>
              <w:top w:type="dxa" w:w="50"/>
              <w:left w:type="dxa" w:w="90"/>
              <w:bottom w:type="dxa" w:w="50"/>
              <w:right w:type="dxa" w:w="90"/>
            </w:tcMar>
            <w:vAlign w:val="center"/>
          </w:tcPr>
          <w:p>
            <w:pPr>
              <w:spacing w:after="20"/>
              <w:jc w:val="left"/>
            </w:pPr>
            <w:r>
              <w:rPr>
                <w:b/>
                <w:bCs/>
                <w:sz w:val="18"/>
                <w:szCs w:val="18"/>
              </w:rPr>
              <w:t xml:space="preserve">Bovinos</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15,4%</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12,5%</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4,9%</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4,8%</w:t>
            </w:r>
          </w:p>
        </w:tc>
        <w:tc>
          <w:tcPr>
            <w:tcW w:type="dxa" w:w="1860"/>
            <w:tcMar>
              <w:top w:type="dxa" w:w="50"/>
              <w:left w:type="dxa" w:w="90"/>
              <w:bottom w:type="dxa" w:w="50"/>
              <w:right w:type="dxa" w:w="90"/>
            </w:tcMar>
            <w:vAlign w:val="center"/>
          </w:tcPr>
          <w:p>
            <w:pPr>
              <w:spacing w:after="20"/>
              <w:jc w:val="left"/>
            </w:pPr>
            <w:r>
              <w:rPr>
                <w:b w:val="false"/>
                <w:bCs w:val="false"/>
                <w:sz w:val="18"/>
                <w:szCs w:val="18"/>
              </w:rPr>
              <w:t xml:space="preserve">±4,8 / ±2,6</w:t>
            </w:r>
          </w:p>
        </w:tc>
      </w:tr>
      <w:tr>
        <w:trPr>
          <w:cantSplit/>
        </w:trPr>
        <w:tc>
          <w:tcPr>
            <w:tcW w:type="dxa" w:w="2000"/>
            <w:tcMar>
              <w:top w:type="dxa" w:w="50"/>
              <w:left w:type="dxa" w:w="90"/>
              <w:bottom w:type="dxa" w:w="50"/>
              <w:right w:type="dxa" w:w="90"/>
            </w:tcMar>
            <w:vAlign w:val="center"/>
          </w:tcPr>
          <w:p>
            <w:pPr>
              <w:spacing w:after="20"/>
              <w:jc w:val="left"/>
            </w:pPr>
            <w:r>
              <w:rPr>
                <w:b/>
                <w:bCs/>
                <w:sz w:val="18"/>
                <w:szCs w:val="18"/>
              </w:rPr>
              <w:t xml:space="preserve">Aves</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15,4%</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9,7%</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14,9%</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17,5%</w:t>
            </w:r>
          </w:p>
        </w:tc>
        <w:tc>
          <w:tcPr>
            <w:tcW w:type="dxa" w:w="1860"/>
            <w:tcMar>
              <w:top w:type="dxa" w:w="50"/>
              <w:left w:type="dxa" w:w="90"/>
              <w:bottom w:type="dxa" w:w="50"/>
              <w:right w:type="dxa" w:w="90"/>
            </w:tcMar>
            <w:vAlign w:val="center"/>
          </w:tcPr>
          <w:p>
            <w:pPr>
              <w:spacing w:after="20"/>
              <w:jc w:val="left"/>
            </w:pPr>
            <w:r>
              <w:rPr>
                <w:b w:val="false"/>
                <w:bCs w:val="false"/>
                <w:sz w:val="18"/>
                <w:szCs w:val="18"/>
              </w:rPr>
              <w:t xml:space="preserve">±11,3 / ±3,2</w:t>
            </w:r>
          </w:p>
        </w:tc>
      </w:tr>
      <w:tr>
        <w:trPr>
          <w:cantSplit/>
        </w:trPr>
        <w:tc>
          <w:tcPr>
            <w:tcW w:type="dxa" w:w="2000"/>
            <w:tcMar>
              <w:top w:type="dxa" w:w="50"/>
              <w:left w:type="dxa" w:w="90"/>
              <w:bottom w:type="dxa" w:w="50"/>
              <w:right w:type="dxa" w:w="90"/>
            </w:tcMar>
            <w:vAlign w:val="center"/>
          </w:tcPr>
          <w:p>
            <w:pPr>
              <w:spacing w:after="20"/>
              <w:jc w:val="left"/>
            </w:pPr>
            <w:r>
              <w:rPr>
                <w:b/>
                <w:bCs/>
                <w:sz w:val="18"/>
                <w:szCs w:val="18"/>
              </w:rPr>
              <w:t xml:space="preserve">Cerdos</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15,4%</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20,8%</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25,7%</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28,7%</w:t>
            </w:r>
          </w:p>
        </w:tc>
        <w:tc>
          <w:tcPr>
            <w:tcW w:type="dxa" w:w="1860"/>
            <w:tcMar>
              <w:top w:type="dxa" w:w="50"/>
              <w:left w:type="dxa" w:w="90"/>
              <w:bottom w:type="dxa" w:w="50"/>
              <w:right w:type="dxa" w:w="90"/>
            </w:tcMar>
            <w:vAlign w:val="center"/>
          </w:tcPr>
          <w:p>
            <w:pPr>
              <w:spacing w:after="20"/>
              <w:jc w:val="left"/>
            </w:pPr>
            <w:r>
              <w:rPr>
                <w:b w:val="false"/>
                <w:bCs w:val="false"/>
                <w:sz w:val="18"/>
                <w:szCs w:val="18"/>
              </w:rPr>
              <w:t xml:space="preserve">±6,8 / ±5,7</w:t>
            </w:r>
          </w:p>
        </w:tc>
      </w:tr>
      <w:tr>
        <w:trPr>
          <w:cantSplit/>
        </w:trPr>
        <w:tc>
          <w:tcPr>
            <w:tcW w:type="dxa" w:w="2000"/>
            <w:tcMar>
              <w:top w:type="dxa" w:w="50"/>
              <w:left w:type="dxa" w:w="90"/>
              <w:bottom w:type="dxa" w:w="50"/>
              <w:right w:type="dxa" w:w="90"/>
            </w:tcMar>
            <w:vAlign w:val="center"/>
          </w:tcPr>
          <w:p>
            <w:pPr>
              <w:spacing w:after="20"/>
              <w:jc w:val="left"/>
            </w:pPr>
            <w:r>
              <w:rPr>
                <w:b/>
                <w:bCs/>
                <w:sz w:val="18"/>
                <w:szCs w:val="18"/>
              </w:rPr>
              <w:t xml:space="preserve">Total</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15,4%</w:t>
            </w:r>
          </w:p>
        </w:tc>
        <w:tc>
          <w:tcPr>
            <w:tcW w:type="dxa" w:w="1300"/>
            <w:tcMar>
              <w:top w:type="dxa" w:w="50"/>
              <w:left w:type="dxa" w:w="90"/>
              <w:bottom w:type="dxa" w:w="50"/>
              <w:right w:type="dxa" w:w="90"/>
            </w:tcMar>
            <w:vAlign w:val="center"/>
          </w:tcPr>
          <w:p>
            <w:pPr>
              <w:spacing w:after="20"/>
              <w:jc w:val="right"/>
            </w:pPr>
            <w:r>
              <w:rPr>
                <w:b w:val="false"/>
                <w:bCs w:val="false"/>
                <w:sz w:val="18"/>
                <w:szCs w:val="18"/>
              </w:rPr>
              <w:t xml:space="preserve">13,7%</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20,6%</w:t>
            </w:r>
          </w:p>
        </w:tc>
        <w:tc>
          <w:tcPr>
            <w:tcW w:type="dxa" w:w="1450"/>
            <w:tcMar>
              <w:top w:type="dxa" w:w="50"/>
              <w:left w:type="dxa" w:w="90"/>
              <w:bottom w:type="dxa" w:w="50"/>
              <w:right w:type="dxa" w:w="90"/>
            </w:tcMar>
            <w:vAlign w:val="center"/>
          </w:tcPr>
          <w:p>
            <w:pPr>
              <w:spacing w:after="20"/>
              <w:jc w:val="right"/>
            </w:pPr>
            <w:r>
              <w:rPr>
                <w:b w:val="false"/>
                <w:bCs w:val="false"/>
                <w:sz w:val="18"/>
                <w:szCs w:val="18"/>
              </w:rPr>
              <w:t xml:space="preserve">22,3%</w:t>
            </w:r>
          </w:p>
        </w:tc>
        <w:tc>
          <w:tcPr>
            <w:tcW w:type="dxa" w:w="1860"/>
            <w:tcMar>
              <w:top w:type="dxa" w:w="50"/>
              <w:left w:type="dxa" w:w="90"/>
              <w:bottom w:type="dxa" w:w="50"/>
              <w:right w:type="dxa" w:w="90"/>
            </w:tcMar>
            <w:vAlign w:val="center"/>
          </w:tcPr>
          <w:p>
            <w:pPr>
              <w:spacing w:after="20"/>
              <w:jc w:val="left"/>
            </w:pPr>
            <w:r>
              <w:rPr>
                <w:b w:val="false"/>
                <w:bCs w:val="false"/>
                <w:sz w:val="18"/>
                <w:szCs w:val="18"/>
              </w:rPr>
              <w:t xml:space="preserve">±5,6 / ±5,7</w:t>
            </w:r>
          </w:p>
        </w:tc>
      </w:tr>
    </w:tbl>
    <w:p>
      <w:pPr>
        <w:spacing w:after="200" w:before="60"/>
      </w:pPr>
      <w:r>
        <w:rPr>
          <w:i/>
          <w:iCs/>
          <w:color w:val="5E6E69"/>
          <w:sz w:val="18"/>
          <w:szCs w:val="18"/>
        </w:rPr>
        <w:t xml:space="preserve">El error típico es el promedio del MAE fuera de pliegue y del MAE del examen por especie para el modelo A; el del total es un promedio ponderado por las ventas de los últimos 12 meses. Para el modelo B los márgenes son: mercado ±5,2 y Laboratorio ±4,6 puntos. El modelo A proyecta el mismo crecimiento de mercado para todas las especies porque es casi una constante.</w:t>
      </w:r>
    </w:p>
    <w:p>
      <w:pPr>
        <w:pStyle w:val="Heading2"/>
      </w:pPr>
      <w:r>
        <w:t xml:space="preserve">6.3 Condiciones que invalidan la recomendación</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4200"/>
        <w:gridCol w:w="28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Condición</w:t>
            </w:r>
          </w:p>
        </w:tc>
        <w:tc>
          <w:tcPr>
            <w:tcW w:type="dxa" w:w="4200"/>
            <w:shd w:fill="E4EEEB" w:color="auto" w:val="clear"/>
            <w:tcMar>
              <w:top w:type="dxa" w:w="50"/>
              <w:left w:type="dxa" w:w="90"/>
              <w:bottom w:type="dxa" w:w="50"/>
              <w:right w:type="dxa" w:w="90"/>
            </w:tcMar>
            <w:vAlign w:val="center"/>
          </w:tcPr>
          <w:p>
            <w:pPr>
              <w:spacing w:after="20"/>
              <w:jc w:val="left"/>
            </w:pPr>
            <w:r>
              <w:rPr>
                <w:b/>
                <w:bCs/>
                <w:sz w:val="18"/>
                <w:szCs w:val="18"/>
              </w:rPr>
              <w:t xml:space="preserve">Señal de alerta</w:t>
            </w:r>
          </w:p>
        </w:tc>
        <w:tc>
          <w:tcPr>
            <w:tcW w:type="dxa" w:w="2860"/>
            <w:shd w:fill="E4EEEB" w:color="auto" w:val="clear"/>
            <w:tcMar>
              <w:top w:type="dxa" w:w="50"/>
              <w:left w:type="dxa" w:w="90"/>
              <w:bottom w:type="dxa" w:w="50"/>
              <w:right w:type="dxa" w:w="90"/>
            </w:tcMar>
            <w:vAlign w:val="center"/>
          </w:tcPr>
          <w:p>
            <w:pPr>
              <w:spacing w:after="20"/>
              <w:jc w:val="left"/>
            </w:pPr>
            <w:r>
              <w:rPr>
                <w:b/>
                <w:bCs/>
                <w:sz w:val="18"/>
                <w:szCs w:val="18"/>
              </w:rPr>
              <w:t xml:space="preserve">Acción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Error de seguimiento alto</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MAE trimestral del crecimiento real frente al proyectado mayor a 8 pp en el mercado o 6 pp en el Laboratorio.</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Detener el uso del simulador y reentrenar.</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 de régimen</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Inflación, PIB o precios fuera del rango visto en 2021-2026 (el simulador lo advierte).</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Tratar el resultado como extrapolación.</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Evento sanitario o regulatorio</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Brotes (por ejemplo influenza aviar, Newcastle, fiebre aftosa, peste porcina), cambios de registro o de política de antimicrobianos.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Reemplazar la proyección por escenarios específicos de la especie.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Cambios de portafolio o competencia</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Lanzamientos, descontinuaciones o entrada de competidores relevantes.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Ajustar la proyección del Laboratorio con juicio experto.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Cambio de la fuente</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Cambio metodológico o de cobertura en SIMVET o en las series de precios.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Revalidar la serie completa.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Revalidación desfavorable</w:t>
            </w:r>
          </w:p>
        </w:tc>
        <w:tc>
          <w:tcPr>
            <w:tcW w:type="dxa" w:w="4200"/>
            <w:tcMar>
              <w:top w:type="dxa" w:w="50"/>
              <w:left w:type="dxa" w:w="90"/>
              <w:bottom w:type="dxa" w:w="50"/>
              <w:right w:type="dxa" w:w="90"/>
            </w:tcMar>
            <w:vAlign w:val="center"/>
          </w:tcPr>
          <w:p>
            <w:pPr>
              <w:spacing w:after="20"/>
              <w:jc w:val="left"/>
            </w:pPr>
            <w:r>
              <w:rPr>
                <w:b w:val="false"/>
                <w:bCs w:val="false"/>
                <w:sz w:val="18"/>
                <w:szCs w:val="18"/>
              </w:rPr>
              <w:t xml:space="preserve">Con los datos de julio a diciembre de 2026, el modelo B no supera a los métodos sencillos.</w:t>
            </w:r>
          </w:p>
        </w:tc>
        <w:tc>
          <w:tcPr>
            <w:tcW w:type="dxa" w:w="2860"/>
            <w:tcMar>
              <w:top w:type="dxa" w:w="50"/>
              <w:left w:type="dxa" w:w="90"/>
              <w:bottom w:type="dxa" w:w="50"/>
              <w:right w:type="dxa" w:w="90"/>
            </w:tcMar>
            <w:vAlign w:val="center"/>
          </w:tcPr>
          <w:p>
            <w:pPr>
              <w:spacing w:after="20"/>
              <w:jc w:val="left"/>
            </w:pPr>
            <w:r>
              <w:rPr>
                <w:b w:val="false"/>
                <w:bCs w:val="false"/>
                <w:sz w:val="18"/>
                <w:szCs w:val="18"/>
              </w:rPr>
              <w:t xml:space="preserve">Volver a los métodos sencillos y a la planeación por escenarios.</w:t>
            </w:r>
          </w:p>
        </w:tc>
      </w:tr>
    </w:tbl>
    <w:p>
      <w:pPr>
        <w:pStyle w:val="Heading2"/>
      </w:pPr>
      <w:r>
        <w:t xml:space="preserve">6.4 Límites del modelo</w:t>
      </w:r>
    </w:p>
    <w:p>
      <w:pPr>
        <w:pStyle w:val="ListParagraph"/>
        <w:numPr>
          <w:ilvl w:val="0"/>
          <w:numId w:val="2"/>
        </w:numPr>
        <w:spacing w:after="60" w:line="264"/>
      </w:pPr>
      <w:r>
        <w:rPr>
          <w:b/>
          <w:bCs/>
        </w:rPr>
        <w:t xml:space="preserve">Poca historia:</w:t>
      </w:r>
      <w:r>
        <w:t xml:space="preserve"> 196 observaciones de entrenamiento en el mercado y 100 en el Laboratorio, con ventanas solapadas.</w:t>
      </w:r>
    </w:p>
    <w:p>
      <w:pPr>
        <w:pStyle w:val="ListParagraph"/>
        <w:numPr>
          <w:ilvl w:val="0"/>
          <w:numId w:val="2"/>
        </w:numPr>
        <w:spacing w:after="60" w:line="264"/>
      </w:pPr>
      <w:r>
        <w:rPr>
          <w:b/>
          <w:bCs/>
        </w:rPr>
        <w:t xml:space="preserve">Poca sensibilidad a las variables.</w:t>
      </w:r>
      <w:r>
        <w:t xml:space="preserve"> En el escenario base, el modelo A casi no responde en el mercado. El modelo B sube +1,04 puntos el crecimiento total del mercado por +10 puntos en el cambio nominal del precio de la carne de res y +0,66 por +1 punto de inflación (por la vía de los precios reales); el PIB mueve −0,11. Para el Laboratorio, +10 puntos en el precio de la carne de cerdo suben el crecimiento +1,68 (modelo A) y +1,83 (modelo B). Son efectos menores que el error del modelo: </w:t>
      </w:r>
      <w:r>
        <w:rPr>
          <w:b/>
          <w:bCs/>
        </w:rPr>
        <w:t xml:space="preserve">el simulador no puede cuantificar con confianza qué pasa al mover esas variables.</w:t>
      </w:r>
    </w:p>
    <w:p>
      <w:pPr>
        <w:pStyle w:val="ListParagraph"/>
        <w:numPr>
          <w:ilvl w:val="0"/>
          <w:numId w:val="2"/>
        </w:numPr>
        <w:spacing w:after="60" w:line="264"/>
      </w:pPr>
      <w:r>
        <w:rPr>
          <w:b/>
          <w:bCs/>
        </w:rPr>
        <w:t xml:space="preserve">Sin capacidad de detectar escenarios bajos.</w:t>
      </w:r>
      <w:r>
        <w:t xml:space="preserve"> No identifica el escenario "regular" en el mercado.</w:t>
      </w:r>
    </w:p>
    <w:p>
      <w:pPr>
        <w:pStyle w:val="ListParagraph"/>
        <w:numPr>
          <w:ilvl w:val="0"/>
          <w:numId w:val="2"/>
        </w:numPr>
        <w:spacing w:after="60" w:line="264"/>
      </w:pPr>
      <w:r>
        <w:rPr>
          <w:b/>
          <w:bCs/>
        </w:rPr>
        <w:t xml:space="preserve">Crecimiento nominal.</w:t>
      </w:r>
      <w:r>
        <w:t xml:space="preserve"> Incluye inflación; una inflación más alta tiende a subir el crecimiento nominal por el efecto de precios, no por mayor demanda.</w:t>
      </w:r>
    </w:p>
    <w:p>
      <w:pPr>
        <w:pStyle w:val="ListParagraph"/>
        <w:numPr>
          <w:ilvl w:val="0"/>
          <w:numId w:val="2"/>
        </w:numPr>
        <w:spacing w:after="60" w:line="264"/>
      </w:pPr>
      <w:r>
        <w:rPr>
          <w:b/>
          <w:bCs/>
        </w:rPr>
        <w:t xml:space="preserve">Bovinos en el Laboratorio.</w:t>
      </w:r>
      <w:r>
        <w:t xml:space="preserve"> La proyección de 2027 (4,9% y 4,8%) contrasta con 14% en 2026 y con la historia de 1% a 14%; requiere revisión del equipo comercial.</w:t>
      </w:r>
    </w:p>
    <w:p>
      <w:pPr>
        <w:pStyle w:val="ListParagraph"/>
        <w:numPr>
          <w:ilvl w:val="0"/>
          <w:numId w:val="2"/>
        </w:numPr>
        <w:spacing w:after="60" w:line="264"/>
      </w:pPr>
      <w:r>
        <w:rPr>
          <w:b/>
          <w:bCs/>
        </w:rPr>
        <w:t xml:space="preserve">Supuestos de 2027.</w:t>
      </w:r>
      <w:r>
        <w:t xml:space="preserve"> La proyección depende de pronósticos de terceros y de supuestos propios (PIB agropecuario, salario mínimo y precios constantes).</w:t>
      </w:r>
    </w:p>
    <w:p>
      <w:pPr>
        <w:pStyle w:val="ListParagraph"/>
        <w:numPr>
          <w:ilvl w:val="0"/>
          <w:numId w:val="2"/>
        </w:numPr>
        <w:spacing w:after="60" w:line="264"/>
      </w:pPr>
      <w:r>
        <w:rPr>
          <w:b/>
          <w:bCs/>
        </w:rPr>
        <w:t xml:space="preserve">Modelo B elegido después del examen.</w:t>
      </w:r>
      <w:r>
        <w:t xml:space="preserve"> Su ventaja en el examen es optimista. Se confirmará con datos nuevos.</w:t>
      </w:r>
    </w:p>
    <w:p>
      <w:pPr>
        <w:pStyle w:val="Heading2"/>
      </w:pPr>
      <w:r>
        <w:t xml:space="preserve">6.5 A quiénes podría perjudicar</w:t>
      </w:r>
    </w:p>
    <w:p>
      <w:pPr>
        <w:pStyle w:val="ListParagraph"/>
        <w:numPr>
          <w:ilvl w:val="0"/>
          <w:numId w:val="2"/>
        </w:numPr>
        <w:spacing w:after="60" w:line="264"/>
      </w:pPr>
      <w:r>
        <w:rPr>
          <w:b/>
          <w:bCs/>
        </w:rPr>
        <w:t xml:space="preserve">Equipos comerciales:</w:t>
      </w:r>
      <w:r>
        <w:t xml:space="preserve"> metas basadas en una cifra puntual pueden penalizar a quienes no la alcancen por razones ajenas.</w:t>
      </w:r>
    </w:p>
    <w:p>
      <w:pPr>
        <w:pStyle w:val="ListParagraph"/>
        <w:numPr>
          <w:ilvl w:val="0"/>
          <w:numId w:val="2"/>
        </w:numPr>
        <w:spacing w:after="60" w:line="264"/>
      </w:pPr>
      <w:r>
        <w:rPr>
          <w:b/>
          <w:bCs/>
        </w:rPr>
        <w:t xml:space="preserve">Especies con menor peso del Laboratorio (bovinos, aves):</w:t>
      </w:r>
      <w:r>
        <w:t xml:space="preserve"> proyecciones de menor calidad pueden llevar a subinvertir o a sobrestockear.</w:t>
      </w:r>
    </w:p>
    <w:p>
      <w:pPr>
        <w:pStyle w:val="ListParagraph"/>
        <w:numPr>
          <w:ilvl w:val="0"/>
          <w:numId w:val="2"/>
        </w:numPr>
        <w:spacing w:after="60" w:line="264"/>
      </w:pPr>
      <w:r>
        <w:rPr>
          <w:b/>
          <w:bCs/>
        </w:rPr>
        <w:t xml:space="preserve">Productores y clínicas:</w:t>
      </w:r>
      <w:r>
        <w:t xml:space="preserve"> el desabastecimiento por subestimación afecta la salud de los animales y la producción; el exceso de inventario puede presionar precios o descuentos.</w:t>
      </w:r>
    </w:p>
    <w:p>
      <w:pPr>
        <w:pStyle w:val="ListParagraph"/>
        <w:numPr>
          <w:ilvl w:val="0"/>
          <w:numId w:val="2"/>
        </w:numPr>
        <w:spacing w:after="60" w:line="264"/>
      </w:pPr>
      <w:r>
        <w:rPr>
          <w:b/>
          <w:bCs/>
        </w:rPr>
        <w:t xml:space="preserve">Uso prudente de antimicrobianos:</w:t>
      </w:r>
      <w:r>
        <w:t xml:space="preserve"> una meta de crecimiento en ese segmento choca con políticas de reducción de uso.</w:t>
      </w:r>
    </w:p>
    <w:p>
      <w:pPr>
        <w:pStyle w:val="ListParagraph"/>
        <w:numPr>
          <w:ilvl w:val="0"/>
          <w:numId w:val="2"/>
        </w:numPr>
        <w:spacing w:after="60" w:line="264"/>
      </w:pPr>
      <w:r>
        <w:rPr>
          <w:b/>
          <w:bCs/>
        </w:rPr>
        <w:t xml:space="preserve">Quien lea el simulador sin contexto:</w:t>
      </w:r>
      <w:r>
        <w:t xml:space="preserve"> puede interpretar un efecto causal donde solo hay asociación (Sección 6.6).</w:t>
      </w:r>
    </w:p>
    <w:p>
      <w:pPr>
        <w:pStyle w:val="Heading2"/>
      </w:pPr>
      <w:r>
        <w:t xml:space="preserve">6.6 Correlación y causalidad</w:t>
      </w:r>
    </w:p>
    <w:p>
      <w:pPr>
        <w:spacing w:after="120" w:line="276"/>
      </w:pPr>
      <w:r>
        <w:t xml:space="preserve">Los coeficientes y las importancias describen asociaciones entre series de pocos años; no demuestran que cambiar una variable cause el cambio en el crecimiento. Tres ejemplos:</w:t>
      </w:r>
    </w:p>
    <w:p>
      <w:pPr>
        <w:pStyle w:val="ListParagraph"/>
        <w:numPr>
          <w:ilvl w:val="0"/>
          <w:numId w:val="2"/>
        </w:numPr>
        <w:spacing w:after="60" w:line="264"/>
      </w:pPr>
      <w:r>
        <w:rPr>
          <w:b/>
          <w:bCs/>
        </w:rPr>
        <w:t xml:space="preserve">Inflación y animales de compañía.</w:t>
      </w:r>
      <w:r>
        <w:t xml:space="preserve"> El equipo planteó que con más inflación los hogares priorizan gastos esenciales sobre la salud de la mascota. En la base, el crecimiento nominal de animales de compañía se mueve junto con la inflación (correlación de 0,43), porque las ventas están en pesos corrientes. Al descontar la inflación, la correlación es de 0,04: no hay evidencia a favor ni en contra de la hipótesis. Probarla exigiría datos de unidades vendidas o de ingresos de los hogares.</w:t>
      </w:r>
    </w:p>
    <w:p>
      <w:pPr>
        <w:pStyle w:val="ListParagraph"/>
        <w:numPr>
          <w:ilvl w:val="0"/>
          <w:numId w:val="2"/>
        </w:numPr>
        <w:spacing w:after="60" w:line="264"/>
      </w:pPr>
      <w:r>
        <w:rPr>
          <w:b/>
          <w:bCs/>
        </w:rPr>
        <w:t xml:space="preserve">Precio real de la carne de cerdo.</w:t>
      </w:r>
      <w:r>
        <w:t xml:space="preserve"> Es la variable con más señal predictiva, pero la caída del precio en 2026 coincide con un cambio en las ventas, y ambas pudieron responder a la oferta, a la demanda o a un tercer factor.</w:t>
      </w:r>
    </w:p>
    <w:p>
      <w:pPr>
        <w:pStyle w:val="ListParagraph"/>
        <w:numPr>
          <w:ilvl w:val="0"/>
          <w:numId w:val="2"/>
        </w:numPr>
        <w:spacing w:after="60" w:line="264"/>
      </w:pPr>
      <w:r>
        <w:rPr>
          <w:b/>
          <w:bCs/>
        </w:rPr>
        <w:t xml:space="preserve">Simulador como "qué pasaría si".</w:t>
      </w:r>
      <w:r>
        <w:t xml:space="preserve"> Cambiar un control muestra cómo responde el modelo, no qué pasaría en el mercado si esa variable cambiara. Para efectos causales harían falta experimentos o variaciones exógenas y datos más finos.</w:t>
      </w:r>
    </w:p>
    <w:p>
      <w:pPr>
        <w:pStyle w:val="Heading2"/>
      </w:pPr>
      <w:r>
        <w:t xml:space="preserve">6.7 Plan de seguimiento</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3700"/>
        <w:gridCol w:w="1500"/>
        <w:gridCol w:w="2700"/>
        <w:gridCol w:w="1460"/>
      </w:tblGrid>
      <w:tr>
        <w:trPr>
          <w:cantSplit/>
          <w:tblHeader/>
        </w:trPr>
        <w:tc>
          <w:tcPr>
            <w:tcW w:type="dxa" w:w="3700"/>
            <w:shd w:fill="E4EEEB" w:color="auto" w:val="clear"/>
            <w:tcMar>
              <w:top w:type="dxa" w:w="50"/>
              <w:left w:type="dxa" w:w="90"/>
              <w:bottom w:type="dxa" w:w="50"/>
              <w:right w:type="dxa" w:w="90"/>
            </w:tcMar>
            <w:vAlign w:val="center"/>
          </w:tcPr>
          <w:p>
            <w:pPr>
              <w:spacing w:after="20"/>
              <w:jc w:val="left"/>
            </w:pPr>
            <w:r>
              <w:rPr>
                <w:b/>
                <w:bCs/>
                <w:sz w:val="18"/>
                <w:szCs w:val="18"/>
              </w:rPr>
              <w:t xml:space="preserve">Indicador</w:t>
            </w:r>
          </w:p>
        </w:tc>
        <w:tc>
          <w:tcPr>
            <w:tcW w:type="dxa" w:w="1500"/>
            <w:shd w:fill="E4EEEB" w:color="auto" w:val="clear"/>
            <w:tcMar>
              <w:top w:type="dxa" w:w="50"/>
              <w:left w:type="dxa" w:w="90"/>
              <w:bottom w:type="dxa" w:w="50"/>
              <w:right w:type="dxa" w:w="90"/>
            </w:tcMar>
            <w:vAlign w:val="center"/>
          </w:tcPr>
          <w:p>
            <w:pPr>
              <w:spacing w:after="20"/>
              <w:jc w:val="left"/>
            </w:pPr>
            <w:r>
              <w:rPr>
                <w:b/>
                <w:bCs/>
                <w:sz w:val="18"/>
                <w:szCs w:val="18"/>
              </w:rPr>
              <w:t xml:space="preserve">Frecuencia</w:t>
            </w:r>
          </w:p>
        </w:tc>
        <w:tc>
          <w:tcPr>
            <w:tcW w:type="dxa" w:w="2700"/>
            <w:shd w:fill="E4EEEB" w:color="auto" w:val="clear"/>
            <w:tcMar>
              <w:top w:type="dxa" w:w="50"/>
              <w:left w:type="dxa" w:w="90"/>
              <w:bottom w:type="dxa" w:w="50"/>
              <w:right w:type="dxa" w:w="90"/>
            </w:tcMar>
            <w:vAlign w:val="center"/>
          </w:tcPr>
          <w:p>
            <w:pPr>
              <w:spacing w:after="20"/>
              <w:jc w:val="left"/>
            </w:pPr>
            <w:r>
              <w:rPr>
                <w:b/>
                <w:bCs/>
                <w:sz w:val="18"/>
                <w:szCs w:val="18"/>
              </w:rPr>
              <w:t xml:space="preserve">Umbral de alerta</w:t>
            </w:r>
          </w:p>
        </w:tc>
        <w:tc>
          <w:tcPr>
            <w:tcW w:type="dxa" w:w="1460"/>
            <w:shd w:fill="E4EEEB" w:color="auto" w:val="clear"/>
            <w:tcMar>
              <w:top w:type="dxa" w:w="50"/>
              <w:left w:type="dxa" w:w="90"/>
              <w:bottom w:type="dxa" w:w="50"/>
              <w:right w:type="dxa" w:w="90"/>
            </w:tcMar>
            <w:vAlign w:val="center"/>
          </w:tcPr>
          <w:p>
            <w:pPr>
              <w:spacing w:after="20"/>
              <w:jc w:val="left"/>
            </w:pPr>
            <w:r>
              <w:rPr>
                <w:b/>
                <w:bCs/>
                <w:sz w:val="18"/>
                <w:szCs w:val="18"/>
              </w:rPr>
              <w:t xml:space="preserve">Responsable</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MAE del crecimiento de 12 meses real frente al proyectado, por especie</w:t>
            </w:r>
          </w:p>
        </w:tc>
        <w:tc>
          <w:tcPr>
            <w:tcW w:type="dxa" w:w="1500"/>
            <w:tcMar>
              <w:top w:type="dxa" w:w="50"/>
              <w:left w:type="dxa" w:w="90"/>
              <w:bottom w:type="dxa" w:w="50"/>
              <w:right w:type="dxa" w:w="90"/>
            </w:tcMar>
            <w:vAlign w:val="center"/>
          </w:tcPr>
          <w:p>
            <w:pPr>
              <w:spacing w:after="20"/>
              <w:jc w:val="left"/>
            </w:pPr>
            <w:r>
              <w:rPr>
                <w:sz w:val="18"/>
                <w:szCs w:val="18"/>
              </w:rPr>
              <w:t xml:space="preserve">Mensual</w:t>
            </w:r>
          </w:p>
        </w:tc>
        <w:tc>
          <w:tcPr>
            <w:tcW w:type="dxa" w:w="2700"/>
            <w:tcMar>
              <w:top w:type="dxa" w:w="50"/>
              <w:left w:type="dxa" w:w="90"/>
              <w:bottom w:type="dxa" w:w="50"/>
              <w:right w:type="dxa" w:w="90"/>
            </w:tcMar>
            <w:vAlign w:val="center"/>
          </w:tcPr>
          <w:p>
            <w:pPr>
              <w:spacing w:after="20"/>
              <w:jc w:val="left"/>
            </w:pPr>
            <w:r>
              <w:rPr>
                <w:sz w:val="18"/>
                <w:szCs w:val="18"/>
              </w:rPr>
              <w:t xml:space="preserve">&gt; 8 pp mercado; &gt; 6 pp Laboratorio</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Sesgo (proyectado menos real)</w:t>
            </w:r>
          </w:p>
        </w:tc>
        <w:tc>
          <w:tcPr>
            <w:tcW w:type="dxa" w:w="1500"/>
            <w:tcMar>
              <w:top w:type="dxa" w:w="50"/>
              <w:left w:type="dxa" w:w="90"/>
              <w:bottom w:type="dxa" w:w="50"/>
              <w:right w:type="dxa" w:w="90"/>
            </w:tcMar>
            <w:vAlign w:val="center"/>
          </w:tcPr>
          <w:p>
            <w:pPr>
              <w:spacing w:after="20"/>
              <w:jc w:val="left"/>
            </w:pPr>
            <w:r>
              <w:rPr>
                <w:sz w:val="18"/>
                <w:szCs w:val="18"/>
              </w:rPr>
              <w:t xml:space="preserve">Trimestral</w:t>
            </w:r>
          </w:p>
        </w:tc>
        <w:tc>
          <w:tcPr>
            <w:tcW w:type="dxa" w:w="2700"/>
            <w:tcMar>
              <w:top w:type="dxa" w:w="50"/>
              <w:left w:type="dxa" w:w="90"/>
              <w:bottom w:type="dxa" w:w="50"/>
              <w:right w:type="dxa" w:w="90"/>
            </w:tcMar>
            <w:vAlign w:val="center"/>
          </w:tcPr>
          <w:p>
            <w:pPr>
              <w:spacing w:after="20"/>
              <w:jc w:val="left"/>
            </w:pPr>
            <w:r>
              <w:rPr>
                <w:sz w:val="18"/>
                <w:szCs w:val="18"/>
              </w:rPr>
              <w:t xml:space="preserve">Mayor a ±3 pp durante dos trimestres</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Variables del simulador frente al rango de entrenamiento</w:t>
            </w:r>
          </w:p>
        </w:tc>
        <w:tc>
          <w:tcPr>
            <w:tcW w:type="dxa" w:w="1500"/>
            <w:tcMar>
              <w:top w:type="dxa" w:w="50"/>
              <w:left w:type="dxa" w:w="90"/>
              <w:bottom w:type="dxa" w:w="50"/>
              <w:right w:type="dxa" w:w="90"/>
            </w:tcMar>
            <w:vAlign w:val="center"/>
          </w:tcPr>
          <w:p>
            <w:pPr>
              <w:spacing w:after="20"/>
              <w:jc w:val="left"/>
            </w:pPr>
            <w:r>
              <w:rPr>
                <w:sz w:val="18"/>
                <w:szCs w:val="18"/>
              </w:rPr>
              <w:t xml:space="preserve">Cada uso</w:t>
            </w:r>
          </w:p>
        </w:tc>
        <w:tc>
          <w:tcPr>
            <w:tcW w:type="dxa" w:w="2700"/>
            <w:tcMar>
              <w:top w:type="dxa" w:w="50"/>
              <w:left w:type="dxa" w:w="90"/>
              <w:bottom w:type="dxa" w:w="50"/>
              <w:right w:type="dxa" w:w="90"/>
            </w:tcMar>
            <w:vAlign w:val="center"/>
          </w:tcPr>
          <w:p>
            <w:pPr>
              <w:spacing w:after="20"/>
              <w:jc w:val="left"/>
            </w:pPr>
            <w:r>
              <w:rPr>
                <w:sz w:val="18"/>
                <w:szCs w:val="18"/>
              </w:rPr>
              <w:t xml:space="preserve">Cualquier variable fuera de rango</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Disponibilidad de pronósticos oficiales 2027</w:t>
            </w:r>
          </w:p>
        </w:tc>
        <w:tc>
          <w:tcPr>
            <w:tcW w:type="dxa" w:w="1500"/>
            <w:tcMar>
              <w:top w:type="dxa" w:w="50"/>
              <w:left w:type="dxa" w:w="90"/>
              <w:bottom w:type="dxa" w:w="50"/>
              <w:right w:type="dxa" w:w="90"/>
            </w:tcMar>
            <w:vAlign w:val="center"/>
          </w:tcPr>
          <w:p>
            <w:pPr>
              <w:spacing w:after="20"/>
              <w:jc w:val="left"/>
            </w:pPr>
            <w:r>
              <w:rPr>
                <w:sz w:val="18"/>
                <w:szCs w:val="18"/>
              </w:rPr>
              <w:t xml:space="preserve">Trimestral</w:t>
            </w:r>
          </w:p>
        </w:tc>
        <w:tc>
          <w:tcPr>
            <w:tcW w:type="dxa" w:w="2700"/>
            <w:tcMar>
              <w:top w:type="dxa" w:w="50"/>
              <w:left w:type="dxa" w:w="90"/>
              <w:bottom w:type="dxa" w:w="50"/>
              <w:right w:type="dxa" w:w="90"/>
            </w:tcMar>
            <w:vAlign w:val="center"/>
          </w:tcPr>
          <w:p>
            <w:pPr>
              <w:spacing w:after="20"/>
              <w:jc w:val="left"/>
            </w:pPr>
            <w:r>
              <w:rPr>
                <w:sz w:val="18"/>
                <w:szCs w:val="18"/>
              </w:rPr>
              <w:t xml:space="preserve">Cambio de más de 1 pp en inflación o PIB</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Revalidación del modelo B con jul-dic 2026</w:t>
            </w:r>
          </w:p>
        </w:tc>
        <w:tc>
          <w:tcPr>
            <w:tcW w:type="dxa" w:w="1500"/>
            <w:tcMar>
              <w:top w:type="dxa" w:w="50"/>
              <w:left w:type="dxa" w:w="90"/>
              <w:bottom w:type="dxa" w:w="50"/>
              <w:right w:type="dxa" w:w="90"/>
            </w:tcMar>
            <w:vAlign w:val="center"/>
          </w:tcPr>
          <w:p>
            <w:pPr>
              <w:spacing w:after="20"/>
              <w:jc w:val="left"/>
            </w:pPr>
            <w:r>
              <w:rPr>
                <w:sz w:val="18"/>
                <w:szCs w:val="18"/>
              </w:rPr>
              <w:t xml:space="preserve">Una vez, primer trimestre de 2027</w:t>
            </w:r>
          </w:p>
        </w:tc>
        <w:tc>
          <w:tcPr>
            <w:tcW w:type="dxa" w:w="2700"/>
            <w:tcMar>
              <w:top w:type="dxa" w:w="50"/>
              <w:left w:type="dxa" w:w="90"/>
              <w:bottom w:type="dxa" w:w="50"/>
              <w:right w:type="dxa" w:w="90"/>
            </w:tcMar>
            <w:vAlign w:val="center"/>
          </w:tcPr>
          <w:p>
            <w:pPr>
              <w:spacing w:after="20"/>
              <w:jc w:val="left"/>
            </w:pPr>
            <w:r>
              <w:rPr>
                <w:sz w:val="18"/>
                <w:szCs w:val="18"/>
              </w:rPr>
              <w:t xml:space="preserve">B no supera a los métodos sencillos</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r>
        <w:trPr>
          <w:cantSplit/>
        </w:trPr>
        <w:tc>
          <w:tcPr>
            <w:tcW w:type="dxa" w:w="3700"/>
            <w:tcMar>
              <w:top w:type="dxa" w:w="50"/>
              <w:left w:type="dxa" w:w="90"/>
              <w:bottom w:type="dxa" w:w="50"/>
              <w:right w:type="dxa" w:w="90"/>
            </w:tcMar>
            <w:vAlign w:val="center"/>
          </w:tcPr>
          <w:p>
            <w:pPr>
              <w:spacing w:after="20"/>
              <w:jc w:val="left"/>
            </w:pPr>
            <w:r>
              <w:rPr>
                <w:sz w:val="18"/>
                <w:szCs w:val="18"/>
              </w:rPr>
              <w:t xml:space="preserve">Eventos sanitarios y de portafolio</w:t>
            </w:r>
          </w:p>
        </w:tc>
        <w:tc>
          <w:tcPr>
            <w:tcW w:type="dxa" w:w="1500"/>
            <w:tcMar>
              <w:top w:type="dxa" w:w="50"/>
              <w:left w:type="dxa" w:w="90"/>
              <w:bottom w:type="dxa" w:w="50"/>
              <w:right w:type="dxa" w:w="90"/>
            </w:tcMar>
            <w:vAlign w:val="center"/>
          </w:tcPr>
          <w:p>
            <w:pPr>
              <w:spacing w:after="20"/>
              <w:jc w:val="left"/>
            </w:pPr>
            <w:r>
              <w:rPr>
                <w:sz w:val="18"/>
                <w:szCs w:val="18"/>
              </w:rPr>
              <w:t xml:space="preserve">Continuo</w:t>
            </w:r>
          </w:p>
        </w:tc>
        <w:tc>
          <w:tcPr>
            <w:tcW w:type="dxa" w:w="2700"/>
            <w:tcMar>
              <w:top w:type="dxa" w:w="50"/>
              <w:left w:type="dxa" w:w="90"/>
              <w:bottom w:type="dxa" w:w="50"/>
              <w:right w:type="dxa" w:w="90"/>
            </w:tcMar>
            <w:vAlign w:val="center"/>
          </w:tcPr>
          <w:p>
            <w:pPr>
              <w:spacing w:after="20"/>
              <w:jc w:val="left"/>
            </w:pPr>
            <w:r>
              <w:rPr>
                <w:sz w:val="18"/>
                <w:szCs w:val="18"/>
              </w:rPr>
              <w:t xml:space="preserve">Cualquier evento relevante</w:t>
            </w:r>
          </w:p>
        </w:tc>
        <w:tc>
          <w:tcPr>
            <w:tcW w:type="dxa" w:w="1460"/>
            <w:tcMar>
              <w:top w:type="dxa" w:w="50"/>
              <w:left w:type="dxa" w:w="90"/>
              <w:bottom w:type="dxa" w:w="50"/>
              <w:right w:type="dxa" w:w="90"/>
            </w:tcMar>
            <w:vAlign w:val="center"/>
          </w:tcPr>
          <w:p>
            <w:pPr>
              <w:spacing w:after="20"/>
              <w:jc w:val="left"/>
            </w:pPr>
            <w:r>
              <w:rPr>
                <w:sz w:val="18"/>
                <w:szCs w:val="18"/>
                <w:highlight w:val="yellow"/>
                <w:highlightCs w:val="yellow"/>
              </w:rPr>
              <w:t xml:space="preserve">[confirmar]</w:t>
            </w:r>
          </w:p>
        </w:tc>
      </w:tr>
    </w:tbl>
    <w:p>
      <w:pPr>
        <w:pStyle w:val="Heading2"/>
      </w:pPr>
      <w:r>
        <w:t xml:space="preserve">6.8 Estado del simulador</w:t>
      </w:r>
    </w:p>
    <w:p>
      <w:pPr>
        <w:spacing w:after="120" w:line="276"/>
      </w:pPr>
      <w:r>
        <w:t xml:space="preserve">El simulador publicado (versión web) calcula en el navegador los dos modelos, A y B, con la misma proyección de este informe. Muestra el rango entre ambos, el margen de error, la comparación de modelos (Tabla 8 y 9), un gráfico con historia y proyección, la sensibilidad de cada modelo y avisos cuando un valor sale del rango de entrenamiento. El modelo B se evalúa con los árboles exportados; la evaluación exportada coincide con scikit-learn con diferencias de 6×10⁻¹⁷ o menos. Incluye íconos por especie y el logo en la columna del Laboratorio, y una nota de que es un análisis interno.</w:t>
      </w:r>
    </w:p>
    <w:p>
      <w:pPr>
        <w:pStyle w:val="Heading1"/>
        <w:spacing w:after="200" w:before="480"/>
      </w:pPr>
      <w:r>
        <w:t xml:space="preserve">7. Roles y trabajo en equipo</w:t>
      </w:r>
    </w:p>
    <w:p>
      <w:pPr>
        <w:spacing w:after="120" w:line="276"/>
      </w:pPr>
      <w:r>
        <w:t xml:space="preserve">El equipo del proyecto está formado por tres perfiles. La tabla resume su aporte; la redacción de los aportes específicos es una propuesta basada en lo registrado en el proyecto y debe ser ajustada por cada integrante.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2100"/>
        <w:gridCol w:w="49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Perfil</w:t>
            </w:r>
          </w:p>
        </w:tc>
        <w:tc>
          <w:tcPr>
            <w:tcW w:type="dxa" w:w="2100"/>
            <w:shd w:fill="E4EEEB" w:color="auto" w:val="clear"/>
            <w:tcMar>
              <w:top w:type="dxa" w:w="50"/>
              <w:left w:type="dxa" w:w="90"/>
              <w:bottom w:type="dxa" w:w="50"/>
              <w:right w:type="dxa" w:w="90"/>
            </w:tcMar>
            <w:vAlign w:val="center"/>
          </w:tcPr>
          <w:p>
            <w:pPr>
              <w:spacing w:after="20"/>
              <w:jc w:val="left"/>
            </w:pPr>
            <w:r>
              <w:rPr>
                <w:b/>
                <w:bCs/>
                <w:sz w:val="18"/>
                <w:szCs w:val="18"/>
              </w:rPr>
              <w:t xml:space="preserve">Integrante</w:t>
            </w:r>
          </w:p>
        </w:tc>
        <w:tc>
          <w:tcPr>
            <w:tcW w:type="dxa" w:w="4960"/>
            <w:shd w:fill="E4EEEB" w:color="auto" w:val="clear"/>
            <w:tcMar>
              <w:top w:type="dxa" w:w="50"/>
              <w:left w:type="dxa" w:w="90"/>
              <w:bottom w:type="dxa" w:w="50"/>
              <w:right w:type="dxa" w:w="90"/>
            </w:tcMar>
            <w:vAlign w:val="center"/>
          </w:tcPr>
          <w:p>
            <w:pPr>
              <w:spacing w:after="20"/>
              <w:jc w:val="left"/>
            </w:pPr>
            <w:r>
              <w:rPr>
                <w:b/>
                <w:bCs/>
                <w:sz w:val="18"/>
                <w:szCs w:val="18"/>
              </w:rPr>
              <w:t xml:space="preserve">Aportes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Jefe (patrocinio y decisión)</w:t>
            </w:r>
          </w:p>
        </w:tc>
        <w:tc>
          <w:tcPr>
            <w:tcW w:type="dxa" w:w="2100"/>
            <w:tcMar>
              <w:top w:type="dxa" w:w="50"/>
              <w:left w:type="dxa" w:w="90"/>
              <w:bottom w:type="dxa" w:w="50"/>
              <w:right w:type="dxa" w:w="90"/>
            </w:tcMar>
            <w:vAlign w:val="center"/>
          </w:tcPr>
          <w:p>
            <w:pPr>
              <w:spacing w:after="20"/>
              <w:jc w:val="left"/>
            </w:pPr>
            <w:r>
              <w:rPr>
                <w:b w:val="false"/>
                <w:bCs w:val="false"/>
                <w:sz w:val="18"/>
                <w:szCs w:val="18"/>
              </w:rPr>
              <w:t xml:space="preserve">Juan Cuellar Chaparro</w:t>
            </w:r>
          </w:p>
        </w:tc>
        <w:tc>
          <w:tcPr>
            <w:tcW w:type="dxa" w:w="4960"/>
            <w:tcMar>
              <w:top w:type="dxa" w:w="50"/>
              <w:left w:type="dxa" w:w="90"/>
              <w:bottom w:type="dxa" w:w="50"/>
              <w:right w:type="dxa" w:w="90"/>
            </w:tcMar>
            <w:vAlign w:val="center"/>
          </w:tcPr>
          <w:p>
            <w:pPr>
              <w:spacing w:after="20"/>
              <w:jc w:val="left"/>
            </w:pPr>
            <w:r>
              <w:rPr>
                <w:b w:val="false"/>
                <w:bCs w:val="false"/>
                <w:sz w:val="18"/>
                <w:szCs w:val="18"/>
              </w:rPr>
              <w:t xml:space="preserve">Plantea el problema de negocio y la decisión que se quiere apoyar; define los escenarios (regular, estable, optimista); valida los tratamientos de datos (devoluciones válidas, aves, participación en cerdos), la decisión de modelar crecimiento nominal, de dejar solo lo que dicen los datos en la hipótesis de inflación y animales de compañía, de excluir perros y gatos, de usar precios reales y de mostrar ambos modelos en el simulador. </w:t>
            </w:r>
            <w:r>
              <w:rPr>
                <w:b w:val="false"/>
                <w:bCs w:val="false"/>
                <w:sz w:val="18"/>
                <w:szCs w:val="18"/>
                <w:highlight w:val="yellow"/>
                <w:highlightCs w:val="yellow"/>
              </w:rPr>
              <w:t xml:space="preserve">[Confirmar y ampliar]</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Líder (coordinación)</w:t>
            </w:r>
          </w:p>
        </w:tc>
        <w:tc>
          <w:tcPr>
            <w:tcW w:type="dxa" w:w="2100"/>
            <w:tcMar>
              <w:top w:type="dxa" w:w="50"/>
              <w:left w:type="dxa" w:w="90"/>
              <w:bottom w:type="dxa" w:w="50"/>
              <w:right w:type="dxa" w:w="90"/>
            </w:tcMar>
            <w:vAlign w:val="center"/>
          </w:tcPr>
          <w:p>
            <w:pPr>
              <w:spacing w:after="20"/>
              <w:jc w:val="left"/>
            </w:pPr>
            <w:r>
              <w:rPr>
                <w:b w:val="false"/>
                <w:bCs w:val="false"/>
                <w:sz w:val="18"/>
                <w:szCs w:val="18"/>
              </w:rPr>
              <w:t xml:space="preserve">Oscar Hernandez Alomia</w:t>
            </w:r>
          </w:p>
        </w:tc>
        <w:tc>
          <w:tcPr>
            <w:tcW w:type="dxa" w:w="49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[Describir: coordinación del proyecto, gestión de accesos a SIMVET y a las ventas internas de Zoetis Colombia, revisión de las entregas y validación con el área comercial]</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Crack (ejecución técnica)</w:t>
            </w:r>
          </w:p>
        </w:tc>
        <w:tc>
          <w:tcPr>
            <w:tcW w:type="dxa" w:w="2100"/>
            <w:tcMar>
              <w:top w:type="dxa" w:w="50"/>
              <w:left w:type="dxa" w:w="90"/>
              <w:bottom w:type="dxa" w:w="50"/>
              <w:right w:type="dxa" w:w="90"/>
            </w:tcMar>
            <w:vAlign w:val="center"/>
          </w:tcPr>
          <w:p>
            <w:pPr>
              <w:spacing w:after="20"/>
              <w:jc w:val="left"/>
            </w:pPr>
            <w:r>
              <w:rPr>
                <w:b w:val="false"/>
                <w:bCs w:val="false"/>
                <w:sz w:val="18"/>
                <w:szCs w:val="18"/>
              </w:rPr>
              <w:t xml:space="preserve">Mariana Jaramillo Naranjo</w:t>
            </w:r>
          </w:p>
        </w:tc>
        <w:tc>
          <w:tcPr>
            <w:tcW w:type="dxa" w:w="49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[Describir: obtención y consolidación de las fuentes de datos (SIMVET, ventas internas, precios, IPC, PIB, población y TRM), revisión del análisis y de los modelos]</w:t>
            </w:r>
          </w:p>
        </w:tc>
      </w:tr>
    </w:tbl>
    <w:p>
      <w:pPr>
        <w:spacing w:after="100"/>
      </w:pPr>
    </w:p>
    <w:p>
      <w:pPr>
        <w:spacing w:after="120" w:line="276"/>
      </w:pPr>
      <w:r>
        <w:t xml:space="preserve">El análisis, el código, el simulador y este informe se desarrollaron con apoyo de un asistente de inteligencia artificial (Claude, de Anthropic), que propuso, ejecutó y documentó bajo la dirección del equipo. Las decisiones de negocio y de tratamiento de datos las tomó el equipo: devoluciones válidas, caída de aves real, participación alta en cerdos, crecimiento nominal, exclusión de perros y gatos, precios en términos reales, uso de ambos modelos en el simulador y la consulta complementaria del examen.</w:t>
      </w:r>
    </w:p>
    <w:p>
      <w:pPr>
        <w:pStyle w:val="Heading1"/>
        <w:pageBreakBefore/>
        <w:spacing w:after="200" w:before="120"/>
      </w:pPr>
      <w:r>
        <w:t xml:space="preserve">Anexo A. Fuentes de datos (APA 7)</w:t>
      </w:r>
    </w:p>
    <w:p>
      <w:pPr>
        <w:spacing w:after="120" w:line="276"/>
      </w:pPr>
      <w:r>
        <w:t xml:space="preserve">Todas las fuentes se consultaron el 18 de octubre de 2026, salvo la TRM, cuyo archivo indica descarga el 21 de octubre de 2026. Cobertura: de 2020 a 2026 (junio de 2026 para mercado y ventas).</w:t>
      </w:r>
    </w:p>
    <w:p>
      <w:pPr>
        <w:spacing w:after="140" w:line="264"/>
        <w:ind w:left="720" w:hanging="720"/>
      </w:pPr>
      <w:r>
        <w:t xml:space="preserve">Banco de la República. (s. f.). </w:t>
      </w:r>
      <w:r>
        <w:rPr>
          <w:i/>
          <w:iCs/>
        </w:rPr>
        <w:t xml:space="preserve">Tasa de cambio: Tasa Representativa del Mercado (TRM), fin de mes y promedio mensual</w:t>
      </w:r>
      <w:r>
        <w:t xml:space="preserve"> [Serie histórica mensual, 2020-2026]. Banco de la República. Recuperado el 21 de octubre de 2026, de </w:t>
      </w:r>
      <w:r>
        <w:rPr>
          <w:color w:val="1F5FA8"/>
        </w:rPr>
        <w:t xml:space="preserve">[[completar la dirección del sistema de series estadísticas]]</w:t>
      </w:r>
    </w:p>
    <w:p>
      <w:pPr>
        <w:spacing w:after="140" w:line="264"/>
        <w:ind w:left="720" w:hanging="720"/>
      </w:pPr>
      <w:r>
        <w:t xml:space="preserve">Departamento Administrativo Nacional de Estadística. (s. f.-a). </w:t>
      </w:r>
      <w:r>
        <w:rPr>
          <w:i/>
          <w:iCs/>
        </w:rPr>
        <w:t xml:space="preserve">Boletín mensual: Precios de leche cruda en finca</w:t>
      </w:r>
      <w:r>
        <w:t xml:space="preserve"> [Series históricas, 2020-2026]. Sistema de Información de Precios y Abastecimiento del Sector Agropecuario (SIPSA). Recuperado el 18 de octubre de 2026, de </w:t>
      </w:r>
      <w:r>
        <w:rPr>
          <w:color w:val="1F5FA8"/>
        </w:rPr>
        <w:t xml:space="preserve">https://www.dane.gov.co/index.php/estadisticas-por-tema/agropecuario/sistema-de-informacion-de-precios-sipsa/boletin-mensual-precios-de-leche-cruda-en-finca</w:t>
      </w:r>
    </w:p>
    <w:p>
      <w:pPr>
        <w:spacing w:after="140" w:line="264"/>
        <w:ind w:left="720" w:hanging="720"/>
      </w:pPr>
      <w:r>
        <w:t xml:space="preserve">Departamento Administrativo Nacional de Estadística. (s. f.-b). </w:t>
      </w:r>
      <w:r>
        <w:rPr>
          <w:i/>
          <w:iCs/>
        </w:rPr>
        <w:t xml:space="preserve">Índice de precios al consumidor (IPC): Información técnica</w:t>
      </w:r>
      <w:r>
        <w:t xml:space="preserve"> [Variación mensual del IPC por ciudades, 2020-2026]. DANE. Recuperado el 18 de octubre de 2026, de </w:t>
      </w:r>
      <w:r>
        <w:rPr>
          <w:color w:val="1F5FA8"/>
        </w:rPr>
        <w:t xml:space="preserve">https://www.dane.gov.co/index.php/estadisticas-por-tema/precios-y-costos/indice-de-precios-al-consumidor-ipc/ipc-informacion-tecnica</w:t>
      </w:r>
    </w:p>
    <w:p>
      <w:pPr>
        <w:spacing w:after="140" w:line="264"/>
        <w:ind w:left="720" w:hanging="720"/>
      </w:pPr>
      <w:r>
        <w:t xml:space="preserve">Departamento Administrativo Nacional de Estadística. (s. f.-c). </w:t>
      </w:r>
      <w:r>
        <w:rPr>
          <w:i/>
          <w:iCs/>
        </w:rPr>
        <w:t xml:space="preserve">Históricos del producto interno bruto (PIB): Cuentas nacionales trimestrales</w:t>
      </w:r>
      <w:r>
        <w:t xml:space="preserve"> [Boletines técnicos, 2020-2026]. DANE. Recuperado el 18 de octubre de 2026, de </w:t>
      </w:r>
      <w:r>
        <w:rPr>
          <w:color w:val="1F5FA8"/>
        </w:rPr>
        <w:t xml:space="preserve">https://www.dane.gov.co/index.php/estadisticas-por-tema/cuentas-nacionales/cuentas-nacionales-trimestrales/historicos-producto-interno-bruto-pib</w:t>
      </w:r>
    </w:p>
    <w:p>
      <w:pPr>
        <w:spacing w:after="140" w:line="264"/>
        <w:ind w:left="720" w:hanging="720"/>
      </w:pPr>
      <w:r>
        <w:t xml:space="preserve">Euromonitor International. (s. f.). </w:t>
      </w:r>
      <w:r>
        <w:rPr>
          <w:i/>
          <w:iCs/>
        </w:rPr>
        <w:t xml:space="preserve">Pet Healthcare: Historic growth, pet population, 2020-2026</w:t>
      </w:r>
      <w:r>
        <w:t xml:space="preserve"> [Base de datos con licencia]. Euromonitor International, Passport. Recuperado el 18 de octubre de 2026, de </w:t>
      </w:r>
      <w:r>
        <w:rPr>
          <w:color w:val="1F5FA8"/>
        </w:rPr>
        <w:t xml:space="preserve">https://www.portal.euromonitor.com/statisticsevolution/index</w:t>
      </w:r>
    </w:p>
    <w:p>
      <w:pPr>
        <w:spacing w:after="140" w:line="264"/>
        <w:ind w:left="720" w:hanging="720"/>
      </w:pPr>
      <w:r>
        <w:t xml:space="preserve">Federación Colombiana de Ganaderos. (s. f.). </w:t>
      </w:r>
      <w:r>
        <w:rPr>
          <w:i/>
          <w:iCs/>
        </w:rPr>
        <w:t xml:space="preserve">Precios: Ganado gordo, kilo en pie, macho de ceba</w:t>
      </w:r>
      <w:r>
        <w:t xml:space="preserve"> [Datos históricos, 2020-2026]. Fedegán. Recuperado el 18 de octubre de 2026, de </w:t>
      </w:r>
      <w:r>
        <w:rPr>
          <w:color w:val="1F5FA8"/>
        </w:rPr>
        <w:t xml:space="preserve">https://www.fedegan.org.co/estadisticas/precios</w:t>
      </w:r>
    </w:p>
    <w:p>
      <w:pPr>
        <w:spacing w:after="140" w:line="264"/>
        <w:ind w:left="720" w:hanging="720"/>
      </w:pPr>
      <w:r>
        <w:t xml:space="preserve">Federación Nacional de Avicultores de Colombia. (s. f.). </w:t>
      </w:r>
      <w:r>
        <w:rPr>
          <w:i/>
          <w:iCs/>
        </w:rPr>
        <w:t xml:space="preserve">Precios PEE: Huevo y pollo por kilogramo</w:t>
      </w:r>
      <w:r>
        <w:t xml:space="preserve"> [Datos históricos, 2020-2026; se consideraron muslos, pierna, pechuga y pollo entero]. Fenavi. Recuperado el 18 de octubre de 2026, de </w:t>
      </w:r>
      <w:r>
        <w:rPr>
          <w:color w:val="1F5FA8"/>
        </w:rPr>
        <w:t xml:space="preserve">https://fenavi.org/precios-pee/</w:t>
      </w:r>
    </w:p>
    <w:p>
      <w:pPr>
        <w:spacing w:after="140" w:line="264"/>
        <w:ind w:left="720" w:hanging="720"/>
      </w:pPr>
      <w:r>
        <w:t xml:space="preserve">Ministerio de Salud y Protección Social. (2018). </w:t>
      </w:r>
      <w:r>
        <w:rPr>
          <w:i/>
          <w:iCs/>
        </w:rPr>
        <w:t xml:space="preserve">Reporte de vacunación antirrábica de perros y gatos, Colombia año 2017</w:t>
      </w:r>
      <w:r>
        <w:t xml:space="preserve"> [Informe en PDF, 24 páginas; última actualización: 15 de marzo de 2018]. Subdirección de Salud Ambiental. Archivo "Población Perros y Gatos 2017.pdf" del repositorio del proyecto. Consultado el 18 de octubre de 2026.</w:t>
      </w:r>
    </w:p>
    <w:p>
      <w:pPr>
        <w:spacing w:after="140" w:line="264"/>
        <w:ind w:left="720" w:hanging="720"/>
      </w:pPr>
      <w:r>
        <w:t xml:space="preserve">Ministerio de Salud y Protección Social. (2019). </w:t>
      </w:r>
      <w:r>
        <w:rPr>
          <w:i/>
          <w:iCs/>
        </w:rPr>
        <w:t xml:space="preserve">Instructivo para el diligenciamiento de los informes bimestrales de vacunación antirrábica para perros y gatos</w:t>
      </w:r>
      <w:r>
        <w:t xml:space="preserve"> [Informe en PDF, 35 páginas; incluye el consolidado nacional 2019 de población de perros y gatos]. Subdirección de Salud Ambiental. Archivo "Población Perros y Gatos 2019.pdf" del repositorio del proyecto. Consultado el 18 de octubre de 2026.</w:t>
      </w:r>
    </w:p>
    <w:p>
      <w:pPr>
        <w:spacing w:after="140" w:line="264"/>
        <w:ind w:left="720" w:hanging="720"/>
      </w:pPr>
      <w:r>
        <w:t xml:space="preserve">Porkcolombia. (s. f.). </w:t>
      </w:r>
      <w:r>
        <w:rPr>
          <w:i/>
          <w:iCs/>
        </w:rPr>
        <w:t xml:space="preserve">Ronda de precios: Precio del kilo de cerdo en pie, promedio mensual</w:t>
      </w:r>
      <w:r>
        <w:t xml:space="preserve"> [Datos históricos, 2020-2026]. Porkcolombia. Recuperado el 18 de octubre de 2026, de </w:t>
      </w:r>
      <w:r>
        <w:rPr>
          <w:color w:val="1F5FA8"/>
        </w:rPr>
        <w:t xml:space="preserve">https://porkcolombia.co/ronda-de-precios/</w:t>
      </w:r>
    </w:p>
    <w:p>
      <w:pPr>
        <w:spacing w:after="140" w:line="264"/>
        <w:ind w:left="720" w:hanging="720"/>
      </w:pPr>
      <w:r>
        <w:t xml:space="preserve">Siigo. (s. f.). </w:t>
      </w:r>
      <w:r>
        <w:rPr>
          <w:i/>
          <w:iCs/>
        </w:rPr>
        <w:t xml:space="preserve">Salario mínimo vigente</w:t>
      </w:r>
      <w:r>
        <w:t xml:space="preserve"> [Entrada de blog sobre derecho laboral; aumentos del salario mínimo legal mensual vigente, 2020-2026]. Siigo. Recuperado el 18 de octubre de 2026, de </w:t>
      </w:r>
      <w:r>
        <w:rPr>
          <w:color w:val="1F5FA8"/>
        </w:rPr>
        <w:t xml:space="preserve">https://www.siigo.com/blog/derecho-laboral/salario-minimo-vigente/</w:t>
      </w:r>
    </w:p>
    <w:p>
      <w:pPr>
        <w:spacing w:after="140" w:line="264"/>
        <w:ind w:left="720" w:hanging="720"/>
      </w:pPr>
      <w:r>
        <w:t xml:space="preserve">SIMVET. (s. f.). </w:t>
      </w:r>
      <w:r>
        <w:rPr>
          <w:i/>
          <w:iCs/>
        </w:rPr>
        <w:t xml:space="preserve">Venta de productos farmacéuticos veterinarios (sell-in) reportada por 31 laboratorios, enero de 2020 a junio de 2026</w:t>
      </w:r>
      <w:r>
        <w:t xml:space="preserve"> [Base de datos con licencia; descarga con cuenta; no muestra nombres de laboratorios ni de marcas]. Plataforma SIMVET. Recuperado el 18 de octubre de 2026, de </w:t>
      </w:r>
      <w:r>
        <w:rPr>
          <w:color w:val="1F5FA8"/>
        </w:rPr>
        <w:t xml:space="preserve">https://plataforma-simvet.com/</w:t>
      </w:r>
    </w:p>
    <w:p>
      <w:pPr>
        <w:spacing w:after="140" w:line="264"/>
        <w:ind w:left="720" w:hanging="720"/>
      </w:pPr>
      <w:r>
        <w:t xml:space="preserve">Zoetis Colombia. (2026). </w:t>
      </w:r>
      <w:r>
        <w:rPr>
          <w:i/>
          <w:iCs/>
        </w:rPr>
        <w:t xml:space="preserve">Ventas del Laboratorio por especie, segmento y subgrupo, enero de 2020 a junio de 2026</w:t>
      </w:r>
      <w:r>
        <w:t xml:space="preserve"> [Datos internos no publicados]. Consultado el 18 de octubre de 2026.</w:t>
      </w:r>
    </w:p>
    <w:p>
      <w:pPr>
        <w:keepNext/>
        <w:spacing w:after="60" w:before="160"/>
      </w:pPr>
      <w:r>
        <w:rPr>
          <w:b/>
          <w:bCs/>
          <w:color w:val="13201C"/>
          <w:sz w:val="19"/>
          <w:szCs w:val="19"/>
        </w:rPr>
        <w:t xml:space="preserve">Tabla A1. Correspondencia entre fuentes y variables de la base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2300"/>
        <w:gridCol w:w="2400"/>
        <w:gridCol w:w="4660"/>
      </w:tblGrid>
      <w:tr>
        <w:trPr>
          <w:cantSplit/>
          <w:tblHeader/>
        </w:trPr>
        <w:tc>
          <w:tcPr>
            <w:tcW w:type="dxa" w:w="2300"/>
            <w:shd w:fill="E4EEEB" w:color="auto" w:val="clear"/>
            <w:tcMar>
              <w:top w:type="dxa" w:w="50"/>
              <w:left w:type="dxa" w:w="90"/>
              <w:bottom w:type="dxa" w:w="50"/>
              <w:right w:type="dxa" w:w="90"/>
            </w:tcMar>
            <w:vAlign w:val="center"/>
          </w:tcPr>
          <w:p>
            <w:pPr>
              <w:spacing w:after="20"/>
              <w:jc w:val="left"/>
            </w:pPr>
            <w:r>
              <w:rPr>
                <w:b/>
                <w:bCs/>
                <w:sz w:val="18"/>
                <w:szCs w:val="18"/>
              </w:rPr>
              <w:t xml:space="preserve">Fuente</w:t>
            </w:r>
          </w:p>
        </w:tc>
        <w:tc>
          <w:tcPr>
            <w:tcW w:type="dxa" w:w="2400"/>
            <w:shd w:fill="E4EEEB" w:color="auto" w:val="clear"/>
            <w:tcMar>
              <w:top w:type="dxa" w:w="50"/>
              <w:left w:type="dxa" w:w="90"/>
              <w:bottom w:type="dxa" w:w="50"/>
              <w:right w:type="dxa" w:w="90"/>
            </w:tcMar>
            <w:vAlign w:val="center"/>
          </w:tcPr>
          <w:p>
            <w:pPr>
              <w:spacing w:after="20"/>
              <w:jc w:val="left"/>
            </w:pPr>
            <w:r>
              <w:rPr>
                <w:b/>
                <w:bCs/>
                <w:sz w:val="18"/>
                <w:szCs w:val="18"/>
              </w:rPr>
              <w:t xml:space="preserve">Variable en la base</w:t>
            </w:r>
          </w:p>
        </w:tc>
        <w:tc>
          <w:tcPr>
            <w:tcW w:type="dxa" w:w="4660"/>
            <w:shd w:fill="E4EEEB" w:color="auto" w:val="clear"/>
            <w:tcMar>
              <w:top w:type="dxa" w:w="50"/>
              <w:left w:type="dxa" w:w="90"/>
              <w:bottom w:type="dxa" w:w="50"/>
              <w:right w:type="dxa" w:w="90"/>
            </w:tcMar>
            <w:vAlign w:val="center"/>
          </w:tcPr>
          <w:p>
            <w:pPr>
              <w:spacing w:after="20"/>
              <w:jc w:val="left"/>
            </w:pPr>
            <w:r>
              <w:rPr>
                <w:b/>
                <w:bCs/>
                <w:sz w:val="18"/>
                <w:szCs w:val="18"/>
              </w:rPr>
              <w:t xml:space="preserve">Observaciones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SIMVET</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Mercado; Segmento; Subgrupo</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Sell-in de 31 laboratorios, sin nombres de laboratorios ni de marcas. Información privilegiada pero no confidencial; uso amparado por la licencia.</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Zoetis Colombia (interna)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Venta Laboratorio; Share Laboratorio; Compite Laboraorio</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Ventas propias. </w:t>
            </w:r>
            <w:r>
              <w:rPr>
                <w:b w:val="false"/>
                <w:bCs w:val="false"/>
                <w:sz w:val="18"/>
                <w:szCs w:val="18"/>
                <w:highlight w:val="yellow"/>
                <w:highlightCs w:val="yellow"/>
              </w:rPr>
              <w:t xml:space="preserve">[Confirmar la definición de la marca "Compite"]</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Minsalud y Euromonitor</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Perros; Gatos</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Población de 2019 (6.403.444 perros y 1.938.517 gatos) multiplicada por el crecimiento anual de Euromonitor, igual para ambas especies (2020: 5,34%; 2021: 5,39%; 2022: 5,00%; 2023: 1,93%; 2024: 2,88%; 2025: 3,10%; 2026: 2,27%). No se usa en el modelo.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DANE, SIPSA (leche)</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Leche</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COP por litro.</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Fedegán</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Carne Res</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Precio del ganado gordo en pie (macho de ceba); en la base la variable se llama "carne res" </w:t>
            </w:r>
            <w:r>
              <w:rPr>
                <w:b w:val="false"/>
                <w:bCs w:val="false"/>
                <w:sz w:val="18"/>
                <w:szCs w:val="18"/>
                <w:highlight w:val="yellow"/>
                <w:highlightCs w:val="yellow"/>
              </w:rPr>
              <w:t xml:space="preserve">[confirmar]</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Porkcolombia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carne cerdo</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Precio del kilo de cerdo en pie, promedio mensual.</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Fenavi</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Precio huevo; Precio Pollo</w:t>
            </w:r>
          </w:p>
        </w:tc>
        <w:tc>
          <w:tcPr>
            <w:tcW w:type="dxa" w:w="4660"/>
            <w:tcMar>
              <w:top w:type="dxa" w:w="50"/>
              <w:left w:type="dxa" w:w="90"/>
              <w:bottom w:type="dxa" w:w="50"/>
              <w:right w:type="dxa" w:w="90"/>
            </w:tcMar>
            <w:vAlign w:val="center"/>
          </w:tcPr>
          <w:p>
            <w:pPr>
              <w:spacing w:after="20"/>
              <w:jc w:val="left"/>
            </w:pPr>
            <w:r>
              <w:rPr>
                <w:b w:val="false"/>
                <w:bCs w:val="false"/>
                <w:sz w:val="18"/>
                <w:szCs w:val="18"/>
                <w:highlight w:val="yellow"/>
                <w:highlightCs w:val="yellow"/>
              </w:rPr>
              <w:t xml:space="preserve">[Confirmar cómo se combinaron muslos, pierna, pechuga y pollo entero en una serie, y la unidad del huevo]</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DANE, IPC</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IPC; Inflación Mensual</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La fuente publica variación por ciudades; la base tiene una serie nacional </w:t>
            </w:r>
            <w:r>
              <w:rPr>
                <w:b w:val="false"/>
                <w:bCs w:val="false"/>
                <w:sz w:val="18"/>
                <w:szCs w:val="18"/>
                <w:highlight w:val="yellow"/>
                <w:highlightCs w:val="yellow"/>
              </w:rPr>
              <w:t xml:space="preserve">[confirmar que es el total nacional]</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DANE, PIB</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PIB; PIB Agro</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Un valor por año </w:t>
            </w:r>
            <w:r>
              <w:rPr>
                <w:b w:val="false"/>
                <w:bCs w:val="false"/>
                <w:sz w:val="18"/>
                <w:szCs w:val="18"/>
                <w:highlight w:val="yellow"/>
                <w:highlightCs w:val="yellow"/>
              </w:rPr>
              <w:t xml:space="preserve">[confirmar si 2026 es un dato observado o un pronóstico]</w:t>
            </w:r>
            <w:r>
              <w:rPr>
                <w:b w:val="false"/>
                <w:bCs w:val="false"/>
                <w:sz w:val="18"/>
                <w:szCs w:val="18"/>
              </w:rPr>
              <w:t xml:space="preserve">.</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Siigo</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Porc Crec SMMLV</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Fuente secundaria (blog comercial). Se recomienda verificar contra los decretos oficiales.</w:t>
            </w:r>
          </w:p>
        </w:tc>
      </w:tr>
      <w:tr>
        <w:trPr>
          <w:cantSplit/>
        </w:trPr>
        <w:tc>
          <w:tcPr>
            <w:tcW w:type="dxa" w:w="2300"/>
            <w:tcMar>
              <w:top w:type="dxa" w:w="50"/>
              <w:left w:type="dxa" w:w="90"/>
              <w:bottom w:type="dxa" w:w="50"/>
              <w:right w:type="dxa" w:w="90"/>
            </w:tcMar>
            <w:vAlign w:val="center"/>
          </w:tcPr>
          <w:p>
            <w:pPr>
              <w:spacing w:after="20"/>
              <w:jc w:val="left"/>
            </w:pPr>
            <w:r>
              <w:rPr>
                <w:b/>
                <w:bCs/>
                <w:sz w:val="18"/>
                <w:szCs w:val="18"/>
              </w:rPr>
              <w:t xml:space="preserve">Banco de la República</w:t>
            </w:r>
          </w:p>
        </w:tc>
        <w:tc>
          <w:tcPr>
            <w:tcW w:type="dxa" w:w="2400"/>
            <w:tcMar>
              <w:top w:type="dxa" w:w="50"/>
              <w:left w:type="dxa" w:w="90"/>
              <w:bottom w:type="dxa" w:w="50"/>
              <w:right w:type="dxa" w:w="90"/>
            </w:tcMar>
            <w:vAlign w:val="center"/>
          </w:tcPr>
          <w:p>
            <w:pPr>
              <w:spacing w:after="20"/>
              <w:jc w:val="left"/>
            </w:pPr>
            <w:r>
              <w:rPr>
                <w:b w:val="false"/>
                <w:bCs w:val="false"/>
                <w:sz w:val="18"/>
                <w:szCs w:val="18"/>
              </w:rPr>
              <w:t xml:space="preserve">TRM (archivo aparte)</w:t>
            </w:r>
          </w:p>
        </w:tc>
        <w:tc>
          <w:tcPr>
            <w:tcW w:type="dxa" w:w="4660"/>
            <w:tcMar>
              <w:top w:type="dxa" w:w="50"/>
              <w:left w:type="dxa" w:w="90"/>
              <w:bottom w:type="dxa" w:w="50"/>
              <w:right w:type="dxa" w:w="90"/>
            </w:tcMar>
            <w:vAlign w:val="center"/>
          </w:tcPr>
          <w:p>
            <w:pPr>
              <w:spacing w:after="20"/>
              <w:jc w:val="left"/>
            </w:pPr>
            <w:r>
              <w:rPr>
                <w:b w:val="false"/>
                <w:bCs w:val="false"/>
                <w:sz w:val="18"/>
                <w:szCs w:val="18"/>
              </w:rPr>
              <w:t xml:space="preserve">Evaluada como predictor; no mejoró y no entró al modelo.</w:t>
            </w:r>
          </w:p>
        </w:tc>
      </w:tr>
    </w:tbl>
    <w:p>
      <w:pPr>
        <w:spacing w:after="100"/>
      </w:pPr>
    </w:p>
    <w:p>
      <w:pPr>
        <w:pStyle w:val="Heading1"/>
      </w:pPr>
      <w:r>
        <w:t xml:space="preserve">Anexo B. Reproducibilidad</w:t>
      </w:r>
    </w:p>
    <w:p>
      <w:pPr>
        <w:spacing w:after="120" w:line="276"/>
      </w:pPr>
      <w:r>
        <w:t xml:space="preserve">Todo el análisis está en el repositorio. El orden de ejecución es el siguiente:</w:t>
      </w:r>
    </w:p>
    <w:tbl>
      <w:tblPr>
        <w:tblW w:type="dxa" w:w="9360"/>
        <w:tblBorders>
          <w:top w:val="single" w:color="C9D5D1" w:sz="4"/>
          <w:left w:val="single" w:color="C9D5D1" w:sz="4"/>
          <w:bottom w:val="single" w:color="C9D5D1" w:sz="4"/>
          <w:right w:val="single" w:color="C9D5D1" w:sz="4"/>
          <w:insideH w:val="single" w:color="C9D5D1" w:sz="4"/>
          <w:insideV w:val="single" w:color="C9D5D1" w:sz="4"/>
        </w:tblBorders>
      </w:tblPr>
      <w:tblGrid>
        <w:gridCol w:w="800"/>
        <w:gridCol w:w="3900"/>
        <w:gridCol w:w="4660"/>
      </w:tblGrid>
      <w:tr>
        <w:trPr>
          <w:cantSplit/>
          <w:tblHeader/>
        </w:trPr>
        <w:tc>
          <w:tcPr>
            <w:tcW w:type="dxa" w:w="800"/>
            <w:shd w:fill="E4EEEB" w:color="auto" w:val="clear"/>
            <w:tcMar>
              <w:top w:type="dxa" w:w="50"/>
              <w:left w:type="dxa" w:w="90"/>
              <w:bottom w:type="dxa" w:w="50"/>
              <w:right w:type="dxa" w:w="90"/>
            </w:tcMar>
            <w:vAlign w:val="center"/>
          </w:tcPr>
          <w:p>
            <w:pPr>
              <w:spacing w:after="20"/>
              <w:jc w:val="left"/>
            </w:pPr>
            <w:r>
              <w:rPr>
                <w:b/>
                <w:bCs/>
                <w:sz w:val="18"/>
                <w:szCs w:val="18"/>
              </w:rPr>
              <w:t xml:space="preserve">Paso</w:t>
            </w:r>
          </w:p>
        </w:tc>
        <w:tc>
          <w:tcPr>
            <w:tcW w:type="dxa" w:w="3900"/>
            <w:shd w:fill="E4EEEB" w:color="auto" w:val="clear"/>
            <w:tcMar>
              <w:top w:type="dxa" w:w="50"/>
              <w:left w:type="dxa" w:w="90"/>
              <w:bottom w:type="dxa" w:w="50"/>
              <w:right w:type="dxa" w:w="90"/>
            </w:tcMar>
            <w:vAlign w:val="center"/>
          </w:tcPr>
          <w:p>
            <w:pPr>
              <w:spacing w:after="20"/>
              <w:jc w:val="left"/>
            </w:pPr>
            <w:r>
              <w:rPr>
                <w:b/>
                <w:bCs/>
                <w:sz w:val="18"/>
                <w:szCs w:val="18"/>
              </w:rPr>
              <w:t xml:space="preserve">Script</w:t>
            </w:r>
          </w:p>
        </w:tc>
        <w:tc>
          <w:tcPr>
            <w:tcW w:type="dxa" w:w="4660"/>
            <w:shd w:fill="E4EEEB" w:color="auto" w:val="clear"/>
            <w:tcMar>
              <w:top w:type="dxa" w:w="50"/>
              <w:left w:type="dxa" w:w="90"/>
              <w:bottom w:type="dxa" w:w="50"/>
              <w:right w:type="dxa" w:w="90"/>
            </w:tcMar>
            <w:vAlign w:val="center"/>
          </w:tcPr>
          <w:p>
            <w:pPr>
              <w:spacing w:after="20"/>
              <w:jc w:val="left"/>
            </w:pPr>
            <w:r>
              <w:rPr>
                <w:b/>
                <w:bCs/>
                <w:sz w:val="18"/>
                <w:szCs w:val="18"/>
              </w:rPr>
              <w:t xml:space="preserve">Función</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1</w:t>
            </w:r>
          </w:p>
        </w:tc>
        <w:tc>
          <w:tcPr>
            <w:tcW w:type="dxa" w:w="3900"/>
            <w:tcMar>
              <w:top w:type="dxa" w:w="50"/>
              <w:left w:type="dxa" w:w="90"/>
              <w:bottom w:type="dxa" w:w="50"/>
              <w:right w:type="dxa" w:w="90"/>
            </w:tcMar>
            <w:vAlign w:val="center"/>
          </w:tcPr>
          <w:p>
            <w:pPr>
              <w:spacing w:after="20"/>
              <w:jc w:val="left"/>
            </w:pPr>
            <w:r>
              <w:rPr>
                <w:sz w:val="18"/>
                <w:szCs w:val="18"/>
              </w:rPr>
              <w:t xml:space="preserve">src/v2/sellar_base.py</w:t>
            </w:r>
          </w:p>
        </w:tc>
        <w:tc>
          <w:tcPr>
            <w:tcW w:type="dxa" w:w="4660"/>
            <w:tcMar>
              <w:top w:type="dxa" w:w="50"/>
              <w:left w:type="dxa" w:w="90"/>
              <w:bottom w:type="dxa" w:w="50"/>
              <w:right w:type="dxa" w:w="90"/>
            </w:tcMar>
            <w:vAlign w:val="center"/>
          </w:tcPr>
          <w:p>
            <w:pPr>
              <w:spacing w:after="20"/>
              <w:jc w:val="left"/>
            </w:pPr>
            <w:r>
              <w:rPr>
                <w:sz w:val="18"/>
                <w:szCs w:val="18"/>
              </w:rPr>
              <w:t xml:space="preserve">Separa y sella los datos de 2026 (base y TRM); guarda huellas digitales.</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2</w:t>
            </w:r>
          </w:p>
        </w:tc>
        <w:tc>
          <w:tcPr>
            <w:tcW w:type="dxa" w:w="3900"/>
            <w:tcMar>
              <w:top w:type="dxa" w:w="50"/>
              <w:left w:type="dxa" w:w="90"/>
              <w:bottom w:type="dxa" w:w="50"/>
              <w:right w:type="dxa" w:w="90"/>
            </w:tcMar>
            <w:vAlign w:val="center"/>
          </w:tcPr>
          <w:p>
            <w:pPr>
              <w:spacing w:after="20"/>
              <w:jc w:val="left"/>
            </w:pPr>
            <w:r>
              <w:rPr>
                <w:sz w:val="18"/>
                <w:szCs w:val="18"/>
              </w:rPr>
              <w:t xml:space="preserve">src/v2/variables.py</w:t>
            </w:r>
          </w:p>
        </w:tc>
        <w:tc>
          <w:tcPr>
            <w:tcW w:type="dxa" w:w="4660"/>
            <w:tcMar>
              <w:top w:type="dxa" w:w="50"/>
              <w:left w:type="dxa" w:w="90"/>
              <w:bottom w:type="dxa" w:w="50"/>
              <w:right w:type="dxa" w:w="90"/>
            </w:tcMar>
            <w:vAlign w:val="center"/>
          </w:tcPr>
          <w:p>
            <w:pPr>
              <w:spacing w:after="20"/>
              <w:jc w:val="left"/>
            </w:pPr>
            <w:r>
              <w:rPr>
                <w:sz w:val="18"/>
                <w:szCs w:val="18"/>
              </w:rPr>
              <w:t xml:space="preserve">Variables de 12 meses móviles solo con datos de desarrollo.</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3</w:t>
            </w:r>
          </w:p>
        </w:tc>
        <w:tc>
          <w:tcPr>
            <w:tcW w:type="dxa" w:w="3900"/>
            <w:tcMar>
              <w:top w:type="dxa" w:w="50"/>
              <w:left w:type="dxa" w:w="90"/>
              <w:bottom w:type="dxa" w:w="50"/>
              <w:right w:type="dxa" w:w="90"/>
            </w:tcMar>
            <w:vAlign w:val="center"/>
          </w:tcPr>
          <w:p>
            <w:pPr>
              <w:spacing w:after="20"/>
              <w:jc w:val="left"/>
            </w:pPr>
            <w:r>
              <w:rPr>
                <w:sz w:val="18"/>
                <w:szCs w:val="18"/>
              </w:rPr>
              <w:t xml:space="preserve">src/v2/desarrollo.py</w:t>
            </w:r>
          </w:p>
        </w:tc>
        <w:tc>
          <w:tcPr>
            <w:tcW w:type="dxa" w:w="4660"/>
            <w:tcMar>
              <w:top w:type="dxa" w:w="50"/>
              <w:left w:type="dxa" w:w="90"/>
              <w:bottom w:type="dxa" w:w="50"/>
              <w:right w:type="dxa" w:w="90"/>
            </w:tcMar>
            <w:vAlign w:val="center"/>
          </w:tcPr>
          <w:p>
            <w:pPr>
              <w:spacing w:after="20"/>
              <w:jc w:val="left"/>
            </w:pPr>
            <w:r>
              <w:rPr>
                <w:sz w:val="18"/>
                <w:szCs w:val="18"/>
              </w:rPr>
              <w:t xml:space="preserve">Validación cruzada con purga, selección, umbral, curvas y diagnósticos.</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4</w:t>
            </w:r>
          </w:p>
        </w:tc>
        <w:tc>
          <w:tcPr>
            <w:tcW w:type="dxa" w:w="3900"/>
            <w:tcMar>
              <w:top w:type="dxa" w:w="50"/>
              <w:left w:type="dxa" w:w="90"/>
              <w:bottom w:type="dxa" w:w="50"/>
              <w:right w:type="dxa" w:w="90"/>
            </w:tcMar>
            <w:vAlign w:val="center"/>
          </w:tcPr>
          <w:p>
            <w:pPr>
              <w:spacing w:after="20"/>
              <w:jc w:val="left"/>
            </w:pPr>
            <w:r>
              <w:rPr>
                <w:sz w:val="18"/>
                <w:szCs w:val="18"/>
              </w:rPr>
              <w:t xml:space="preserve">src/v2/seleccion_predictores.py, importancia.py</w:t>
            </w:r>
          </w:p>
        </w:tc>
        <w:tc>
          <w:tcPr>
            <w:tcW w:type="dxa" w:w="4660"/>
            <w:tcMar>
              <w:top w:type="dxa" w:w="50"/>
              <w:left w:type="dxa" w:w="90"/>
              <w:bottom w:type="dxa" w:w="50"/>
              <w:right w:type="dxa" w:w="90"/>
            </w:tcMar>
            <w:vAlign w:val="center"/>
          </w:tcPr>
          <w:p>
            <w:pPr>
              <w:spacing w:after="20"/>
              <w:jc w:val="left"/>
            </w:pPr>
            <w:r>
              <w:rPr>
                <w:sz w:val="18"/>
                <w:szCs w:val="18"/>
              </w:rPr>
              <w:t xml:space="preserve">Cribado de predictores e importancia de variables con controles de ruido.</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5</w:t>
            </w:r>
          </w:p>
        </w:tc>
        <w:tc>
          <w:tcPr>
            <w:tcW w:type="dxa" w:w="3900"/>
            <w:tcMar>
              <w:top w:type="dxa" w:w="50"/>
              <w:left w:type="dxa" w:w="90"/>
              <w:bottom w:type="dxa" w:w="50"/>
              <w:right w:type="dxa" w:w="90"/>
            </w:tcMar>
            <w:vAlign w:val="center"/>
          </w:tcPr>
          <w:p>
            <w:pPr>
              <w:spacing w:after="20"/>
              <w:jc w:val="left"/>
            </w:pPr>
            <w:r>
              <w:rPr>
                <w:sz w:val="18"/>
                <w:szCs w:val="18"/>
              </w:rPr>
              <w:t xml:space="preserve">src/v2/verificar_sello.py</w:t>
            </w:r>
          </w:p>
        </w:tc>
        <w:tc>
          <w:tcPr>
            <w:tcW w:type="dxa" w:w="4660"/>
            <w:tcMar>
              <w:top w:type="dxa" w:w="50"/>
              <w:left w:type="dxa" w:w="90"/>
              <w:bottom w:type="dxa" w:w="50"/>
              <w:right w:type="dxa" w:w="90"/>
            </w:tcMar>
            <w:vAlign w:val="center"/>
          </w:tcPr>
          <w:p>
            <w:pPr>
              <w:spacing w:after="20"/>
              <w:jc w:val="left"/>
            </w:pPr>
            <w:r>
              <w:rPr>
                <w:sz w:val="18"/>
                <w:szCs w:val="18"/>
              </w:rPr>
              <w:t xml:space="preserve">Prueba del canario: cifras de 2026 alteradas, resultados idénticos.</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6</w:t>
            </w:r>
          </w:p>
        </w:tc>
        <w:tc>
          <w:tcPr>
            <w:tcW w:type="dxa" w:w="3900"/>
            <w:tcMar>
              <w:top w:type="dxa" w:w="50"/>
              <w:left w:type="dxa" w:w="90"/>
              <w:bottom w:type="dxa" w:w="50"/>
              <w:right w:type="dxa" w:w="90"/>
            </w:tcMar>
            <w:vAlign w:val="center"/>
          </w:tcPr>
          <w:p>
            <w:pPr>
              <w:spacing w:after="20"/>
              <w:jc w:val="left"/>
            </w:pPr>
            <w:r>
              <w:rPr>
                <w:sz w:val="18"/>
                <w:szCs w:val="18"/>
              </w:rPr>
              <w:t xml:space="preserve">src/v2/prueba.py (una vez) y prueba_complementaria.py</w:t>
            </w:r>
          </w:p>
        </w:tc>
        <w:tc>
          <w:tcPr>
            <w:tcW w:type="dxa" w:w="4660"/>
            <w:tcMar>
              <w:top w:type="dxa" w:w="50"/>
              <w:left w:type="dxa" w:w="90"/>
              <w:bottom w:type="dxa" w:w="50"/>
              <w:right w:type="dxa" w:w="90"/>
            </w:tcMar>
            <w:vAlign w:val="center"/>
          </w:tcPr>
          <w:p>
            <w:pPr>
              <w:spacing w:after="20"/>
              <w:jc w:val="left"/>
            </w:pPr>
            <w:r>
              <w:rPr>
                <w:sz w:val="18"/>
                <w:szCs w:val="18"/>
              </w:rPr>
              <w:t xml:space="preserve">Consulta principal y consulta complementaria del examen, con candado y registro de accesos.</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7</w:t>
            </w:r>
          </w:p>
        </w:tc>
        <w:tc>
          <w:tcPr>
            <w:tcW w:type="dxa" w:w="3900"/>
            <w:tcMar>
              <w:top w:type="dxa" w:w="50"/>
              <w:left w:type="dxa" w:w="90"/>
              <w:bottom w:type="dxa" w:w="50"/>
              <w:right w:type="dxa" w:w="90"/>
            </w:tcMar>
            <w:vAlign w:val="center"/>
          </w:tcPr>
          <w:p>
            <w:pPr>
              <w:spacing w:after="20"/>
              <w:jc w:val="left"/>
            </w:pPr>
            <w:r>
              <w:rPr>
                <w:sz w:val="18"/>
                <w:szCs w:val="18"/>
              </w:rPr>
              <w:t xml:space="preserve">src/v2/despliegue.py, proyeccion.py, exportar_simulador.py, build_simulador.py</w:t>
            </w:r>
          </w:p>
        </w:tc>
        <w:tc>
          <w:tcPr>
            <w:tcW w:type="dxa" w:w="4660"/>
            <w:tcMar>
              <w:top w:type="dxa" w:w="50"/>
              <w:left w:type="dxa" w:w="90"/>
              <w:bottom w:type="dxa" w:w="50"/>
              <w:right w:type="dxa" w:w="90"/>
            </w:tcMar>
            <w:vAlign w:val="center"/>
          </w:tcPr>
          <w:p>
            <w:pPr>
              <w:spacing w:after="20"/>
              <w:jc w:val="left"/>
            </w:pPr>
            <w:r>
              <w:rPr>
                <w:sz w:val="18"/>
                <w:szCs w:val="18"/>
              </w:rPr>
              <w:t xml:space="preserve">Reajuste final, proyección 2027, exportación y construcción del simulador.</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8</w:t>
            </w:r>
          </w:p>
        </w:tc>
        <w:tc>
          <w:tcPr>
            <w:tcW w:type="dxa" w:w="3900"/>
            <w:tcMar>
              <w:top w:type="dxa" w:w="50"/>
              <w:left w:type="dxa" w:w="90"/>
              <w:bottom w:type="dxa" w:w="50"/>
              <w:right w:type="dxa" w:w="90"/>
            </w:tcMar>
            <w:vAlign w:val="center"/>
          </w:tcPr>
          <w:p>
            <w:pPr>
              <w:spacing w:after="20"/>
              <w:jc w:val="left"/>
            </w:pPr>
            <w:r>
              <w:rPr>
                <w:sz w:val="18"/>
                <w:szCs w:val="18"/>
              </w:rPr>
              <w:t xml:space="preserve">cuaderno/pipeline_completo.ipynb</w:t>
            </w:r>
          </w:p>
        </w:tc>
        <w:tc>
          <w:tcPr>
            <w:tcW w:type="dxa" w:w="4660"/>
            <w:tcMar>
              <w:top w:type="dxa" w:w="50"/>
              <w:left w:type="dxa" w:w="90"/>
              <w:bottom w:type="dxa" w:w="50"/>
              <w:right w:type="dxa" w:w="90"/>
            </w:tcMar>
            <w:vAlign w:val="center"/>
          </w:tcPr>
          <w:p>
            <w:pPr>
              <w:spacing w:after="20"/>
              <w:jc w:val="left"/>
            </w:pPr>
            <w:r>
              <w:rPr>
                <w:sz w:val="18"/>
                <w:szCs w:val="18"/>
              </w:rPr>
              <w:t xml:space="preserve">Cuaderno que reproduce el proceso de principio a fin, con semilla 0, versiones declaradas y rutas relativas.</w:t>
            </w:r>
          </w:p>
        </w:tc>
      </w:tr>
      <w:tr>
        <w:trPr>
          <w:cantSplit/>
        </w:trPr>
        <w:tc>
          <w:tcPr>
            <w:tcW w:type="dxa" w:w="800"/>
            <w:tcMar>
              <w:top w:type="dxa" w:w="50"/>
              <w:left w:type="dxa" w:w="90"/>
              <w:bottom w:type="dxa" w:w="50"/>
              <w:right w:type="dxa" w:w="90"/>
            </w:tcMar>
            <w:vAlign w:val="center"/>
          </w:tcPr>
          <w:p>
            <w:pPr>
              <w:spacing w:after="20"/>
              <w:jc w:val="left"/>
            </w:pPr>
            <w:r>
              <w:rPr>
                <w:sz w:val="18"/>
                <w:szCs w:val="18"/>
              </w:rPr>
              <w:t xml:space="preserve">9</w:t>
            </w:r>
          </w:p>
        </w:tc>
        <w:tc>
          <w:tcPr>
            <w:tcW w:type="dxa" w:w="3900"/>
            <w:tcMar>
              <w:top w:type="dxa" w:w="50"/>
              <w:left w:type="dxa" w:w="90"/>
              <w:bottom w:type="dxa" w:w="50"/>
              <w:right w:type="dxa" w:w="90"/>
            </w:tcMar>
            <w:vAlign w:val="center"/>
          </w:tcPr>
          <w:p>
            <w:pPr>
              <w:spacing w:after="20"/>
              <w:jc w:val="left"/>
            </w:pPr>
            <w:r>
              <w:rPr>
                <w:sz w:val="18"/>
                <w:szCs w:val="18"/>
              </w:rPr>
              <w:t xml:space="preserve">informe_v2/construir_cifras.py, figuras_v2.py, construir_informe_v2.js</w:t>
            </w:r>
          </w:p>
        </w:tc>
        <w:tc>
          <w:tcPr>
            <w:tcW w:type="dxa" w:w="4660"/>
            <w:tcMar>
              <w:top w:type="dxa" w:w="50"/>
              <w:left w:type="dxa" w:w="90"/>
              <w:bottom w:type="dxa" w:w="50"/>
              <w:right w:type="dxa" w:w="90"/>
            </w:tcMar>
            <w:vAlign w:val="center"/>
          </w:tcPr>
          <w:p>
            <w:pPr>
              <w:spacing w:after="20"/>
              <w:jc w:val="left"/>
            </w:pPr>
            <w:r>
              <w:rPr>
                <w:sz w:val="18"/>
                <w:szCs w:val="18"/>
              </w:rPr>
              <w:t xml:space="preserve">Cifras, figuras y este documento, sin cifras digitadas a mano.</w:t>
            </w:r>
          </w:p>
        </w:tc>
      </w:tr>
    </w:tbl>
    <w:p>
      <w:pPr>
        <w:spacing w:after="100"/>
      </w:pPr>
    </w:p>
    <w:p>
      <w:pPr>
        <w:keepNext/>
        <w:spacing w:after="60" w:before="160"/>
      </w:pPr>
      <w:r>
        <w:rPr>
          <w:b/>
          <w:bCs/>
          <w:color w:val="13201C"/>
          <w:sz w:val="19"/>
          <w:szCs w:val="19"/>
        </w:rPr>
        <w:t xml:space="preserve">Referencias metodológicas</w:t>
      </w:r>
    </w:p>
    <w:p>
      <w:pPr>
        <w:spacing w:after="140" w:line="264"/>
        <w:ind w:left="720" w:hanging="720"/>
      </w:pPr>
      <w:r>
        <w:t xml:space="preserve">Pedregosa, F., Varoquaux, G., Gramfort, A., Michel, V., Thirion, B., Grisel, O., Blondel, M., Prettenhofer, P., Weiss, R., Dubourg, V., Vanderplas, J., Passos, A., Cournapeau, D., Brucher, M., Perrot, M., &amp; Duchesnay, E. (2011). Scikit-learn: Machine learning in Python. </w:t>
      </w:r>
      <w:r>
        <w:rPr>
          <w:i/>
          <w:iCs/>
        </w:rPr>
        <w:t xml:space="preserve">Journal of Machine Learning Research, 12</w:t>
      </w:r>
      <w:r>
        <w:t xml:space="preserve">, 2825-2830.</w:t>
      </w:r>
    </w:p>
    <w:p>
      <w:pPr>
        <w:spacing w:after="140" w:line="264"/>
        <w:ind w:left="720" w:hanging="720"/>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iCs/>
        </w:rPr>
        <w:t xml:space="preserve">Ecography, 40</w:t>
      </w:r>
      <w:r>
        <w:t xml:space="preserve">(8), 913-929. https://doi.org/10.1111/ecog.02881</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E6E69"/>
        <w:sz w:val="16"/>
        <w:szCs w:val="16"/>
      </w:rPr>
      <w:t xml:space="preserve">Borrador 2 · Página </w:t>
    </w:r>
    <w:r>
      <w:rPr>
        <w:color w:val="5E6E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5D1" w:sz="4" w:space="4"/>
      </w:pBdr>
    </w:pPr>
    <w:r>
      <w:rPr>
        <w:color w:val="5E6E69"/>
        <w:sz w:val="16"/>
        <w:szCs w:val="16"/>
      </w:rPr>
      <w:t xml:space="preserve">Informe Técnico de Mercado Farmacéutico de Salud Animal en Colombia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Calibri" w:cs="Calibri" w:eastAsia="Calibri" w:hAnsi="Calibri"/>
      <w:b/>
      <w:bCs/>
      <w:color w:val="0B5D4F"/>
      <w:sz w:val="52"/>
      <w:szCs w:val="52"/>
    </w:rPr>
  </w:style>
  <w:style w:type="paragraph" w:styleId="Heading1">
    <w:name w:val="Heading 1"/>
    <w:basedOn w:val="Normal"/>
    <w:next w:val="Normal"/>
    <w:qFormat/>
    <w:pPr>
      <w:keepNext/>
      <w:spacing w:after="200" w:before="120"/>
      <w:outlineLvl w:val="0"/>
    </w:pPr>
    <w:rPr>
      <w:b/>
      <w:bCs/>
      <w:color w:val="0B5D4F"/>
      <w:sz w:val="34"/>
      <w:szCs w:val="34"/>
    </w:rPr>
  </w:style>
  <w:style w:type="paragraph" w:styleId="Heading2">
    <w:name w:val="Heading 2"/>
    <w:basedOn w:val="Normal"/>
    <w:next w:val="Normal"/>
    <w:qFormat/>
    <w:pPr>
      <w:keepNext/>
      <w:spacing w:after="120" w:before="280"/>
      <w:outlineLvl w:val="1"/>
    </w:pPr>
    <w:rPr>
      <w:b/>
      <w:bCs/>
      <w:color w:val="13201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f06c4636fa87c4d6c62fa5ff7820009f6802fc.png"/><Relationship Id="rId10" Type="http://schemas.openxmlformats.org/officeDocument/2006/relationships/image" Target="media/2fbd0f40282d742a2204fcd6dc9520320ab91ff4.png"/><Relationship Id="rId11" Type="http://schemas.openxmlformats.org/officeDocument/2006/relationships/image" Target="media/dd697aa47765bf66ebc65693947a159f55e02757.png"/><Relationship Id="rId12" Type="http://schemas.openxmlformats.org/officeDocument/2006/relationships/image" Target="media/0a1ac1d3ae0339648a69fde0e15a71f58479a424.png"/><Relationship Id="rId13" Type="http://schemas.openxmlformats.org/officeDocument/2006/relationships/image" Target="media/304e909d4eb021f5785324f36b218991900c7ad0.png"/><Relationship Id="rId14" Type="http://schemas.openxmlformats.org/officeDocument/2006/relationships/image" Target="media/2c0a5e23d4fc8c50bd736895fa33f3a50c081147.png"/><Relationship Id="rId15" Type="http://schemas.openxmlformats.org/officeDocument/2006/relationships/image" Target="media/05dacba05c5df8441f4af43beef7f8dbaa0a6463.png"/><Relationship Id="rId16" Type="http://schemas.openxmlformats.org/officeDocument/2006/relationships/image" Target="media/3a0e59f91bc571824d04f0d2d79c90acd5421f3f.png"/><Relationship Id="rId17" Type="http://schemas.openxmlformats.org/officeDocument/2006/relationships/image" Target="media/406117dd80d7b1d91b9a0025de7cccdae069d9d9.png"/><Relationship Id="rId18" Type="http://schemas.openxmlformats.org/officeDocument/2006/relationships/image" Target="media/2e0125334108503468f1073265f66c9b1927b64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Mercado Farmacéutico de Salud Animal en Colombia</dc:title>
  <dc:creator>Juan Cuellar Chaparro, Oscar Hernandez Alomia, Mariana Jaramillo Naranjo</dc:creator>
  <cp:lastModifiedBy>Un-named</cp:lastModifiedBy>
  <cp:revision>1</cp:revision>
  <dcterms:created xsi:type="dcterms:W3CDTF">2026-10-21T20:05:29.366Z</dcterms:created>
  <dcterms:modified xsi:type="dcterms:W3CDTF">2026-10-21T20:05:29.366Z</dcterms:modified>
</cp:coreProperties>
</file>

<file path=docProps/custom.xml><?xml version="1.0" encoding="utf-8"?>
<Properties xmlns="http://schemas.openxmlformats.org/officeDocument/2006/custom-properties" xmlns:vt="http://schemas.openxmlformats.org/officeDocument/2006/docPropsVTypes"/>
</file>