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0B5D4F"/>
          <w:spacing w:val="60"/>
          <w:sz w:val="22"/>
          <w:szCs w:val="22"/>
        </w:rPr>
        <w:t xml:space="preserve">INFORME TÉCNICO</w:t>
      </w:r>
    </w:p>
    <w:p>
      <w:pPr>
        <w:pStyle w:val="Title"/>
        <w:spacing w:after="240"/>
      </w:pPr>
      <w:r>
        <w:t xml:space="preserve">Informe Técnico de Mercado Farmacéutico de Salud Animal en Colombia</w:t>
      </w:r>
    </w:p>
    <w:p>
      <w:pPr>
        <w:spacing w:after="600"/>
      </w:pPr>
      <w:r>
        <w:rPr>
          <w:color w:val="5E6E69"/>
          <w:sz w:val="26"/>
          <w:szCs w:val="26"/>
        </w:rPr>
        <w:t xml:space="preserve">Proyección del crecimiento 2027 del mercado y del laboratorio, con simulador de escenarios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400"/>
        <w:gridCol w:w="6960"/>
      </w:tblGrid>
      <w:tr>
        <w:trPr>
          <w:cantSplit/>
          <w:tblHeader/>
        </w:trPr>
        <w:tc>
          <w:tcPr>
            <w:tcW w:type="dxa" w:w="2400"/>
            <w:shd w:fill="E4EEEB" w:color="auto" w:val="clear"/>
            <w:tcMar>
              <w:top w:type="dxa" w:w="50"/>
              <w:left w:type="dxa" w:w="90"/>
              <w:bottom w:type="dxa" w:w="50"/>
              <w:right w:type="dxa" w:w="90"/>
            </w:tcMar>
            <w:vAlign w:val="center"/>
          </w:tcPr>
          <w:p>
            <w:pPr>
              <w:spacing w:after="20"/>
              <w:jc w:val="left"/>
            </w:pPr>
            <w:r>
              <w:rPr>
                <w:b/>
                <w:bCs/>
                <w:sz w:val="18"/>
                <w:szCs w:val="18"/>
              </w:rPr>
              <w:t xml:space="preserve">Campo</w:t>
            </w:r>
          </w:p>
        </w:tc>
        <w:tc>
          <w:tcPr>
            <w:tcW w:type="dxa" w:w="6960"/>
            <w:shd w:fill="E4EEEB" w:color="auto" w:val="clear"/>
            <w:tcMar>
              <w:top w:type="dxa" w:w="50"/>
              <w:left w:type="dxa" w:w="90"/>
              <w:bottom w:type="dxa" w:w="50"/>
              <w:right w:type="dxa" w:w="90"/>
            </w:tcMar>
            <w:vAlign w:val="center"/>
          </w:tcPr>
          <w:p>
            <w:pPr>
              <w:spacing w:after="20"/>
              <w:jc w:val="left"/>
            </w:pPr>
            <w:r>
              <w:rPr>
                <w:b/>
                <w:bCs/>
                <w:sz w:val="18"/>
                <w:szCs w:val="18"/>
              </w:rPr>
              <w:t xml:space="preserve">Detalle</w:t>
            </w:r>
          </w:p>
        </w:tc>
      </w:tr>
      <w:tr>
        <w:trPr>
          <w:cantSplit/>
        </w:trPr>
        <w:tc>
          <w:tcPr>
            <w:tcW w:type="dxa" w:w="2400"/>
            <w:tcMar>
              <w:top w:type="dxa" w:w="50"/>
              <w:left w:type="dxa" w:w="90"/>
              <w:bottom w:type="dxa" w:w="50"/>
              <w:right w:type="dxa" w:w="90"/>
            </w:tcMar>
            <w:vAlign w:val="center"/>
          </w:tcPr>
          <w:p>
            <w:pPr>
              <w:spacing w:after="20"/>
              <w:jc w:val="left"/>
            </w:pPr>
            <w:r>
              <w:rPr>
                <w:b/>
                <w:bCs/>
                <w:sz w:val="18"/>
                <w:szCs w:val="18"/>
              </w:rPr>
              <w:t xml:space="preserve">Versión</w:t>
            </w:r>
          </w:p>
        </w:tc>
        <w:tc>
          <w:tcPr>
            <w:tcW w:type="dxa" w:w="6960"/>
            <w:tcMar>
              <w:top w:type="dxa" w:w="50"/>
              <w:left w:type="dxa" w:w="90"/>
              <w:bottom w:type="dxa" w:w="50"/>
              <w:right w:type="dxa" w:w="90"/>
            </w:tcMar>
            <w:vAlign w:val="center"/>
          </w:tcPr>
          <w:p>
            <w:pPr>
              <w:spacing w:after="20"/>
              <w:jc w:val="left"/>
            </w:pPr>
            <w:r>
              <w:rPr>
                <w:b w:val="false"/>
                <w:bCs w:val="false"/>
                <w:sz w:val="18"/>
                <w:szCs w:val="18"/>
              </w:rPr>
              <w:t xml:space="preserve">Borrador 1, octubre de 2026</w:t>
            </w:r>
          </w:p>
        </w:tc>
      </w:tr>
      <w:tr>
        <w:trPr>
          <w:cantSplit/>
        </w:trPr>
        <w:tc>
          <w:tcPr>
            <w:tcW w:type="dxa" w:w="2400"/>
            <w:tcMar>
              <w:top w:type="dxa" w:w="50"/>
              <w:left w:type="dxa" w:w="90"/>
              <w:bottom w:type="dxa" w:w="50"/>
              <w:right w:type="dxa" w:w="90"/>
            </w:tcMar>
            <w:vAlign w:val="center"/>
          </w:tcPr>
          <w:p>
            <w:pPr>
              <w:spacing w:after="20"/>
              <w:jc w:val="left"/>
            </w:pPr>
            <w:r>
              <w:rPr>
                <w:b/>
                <w:bCs/>
                <w:sz w:val="18"/>
                <w:szCs w:val="18"/>
              </w:rPr>
              <w:t xml:space="preserve">Equipo</w:t>
            </w:r>
          </w:p>
        </w:tc>
        <w:tc>
          <w:tcPr>
            <w:tcW w:type="dxa" w:w="696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[nombres y cargos del equipo]</w:t>
            </w:r>
          </w:p>
        </w:tc>
      </w:tr>
      <w:tr>
        <w:trPr>
          <w:cantSplit/>
        </w:trPr>
        <w:tc>
          <w:tcPr>
            <w:tcW w:type="dxa" w:w="2400"/>
            <w:tcMar>
              <w:top w:type="dxa" w:w="50"/>
              <w:left w:type="dxa" w:w="90"/>
              <w:bottom w:type="dxa" w:w="50"/>
              <w:right w:type="dxa" w:w="90"/>
            </w:tcMar>
            <w:vAlign w:val="center"/>
          </w:tcPr>
          <w:p>
            <w:pPr>
              <w:spacing w:after="20"/>
              <w:jc w:val="left"/>
            </w:pPr>
            <w:r>
              <w:rPr>
                <w:b/>
                <w:bCs/>
                <w:sz w:val="18"/>
                <w:szCs w:val="18"/>
              </w:rPr>
              <w:t xml:space="preserve">Organización</w:t>
            </w:r>
          </w:p>
        </w:tc>
        <w:tc>
          <w:tcPr>
            <w:tcW w:type="dxa" w:w="696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[nombre del Laboratorio / área solicitante]</w:t>
            </w:r>
          </w:p>
        </w:tc>
      </w:tr>
      <w:tr>
        <w:trPr>
          <w:cantSplit/>
        </w:trPr>
        <w:tc>
          <w:tcPr>
            <w:tcW w:type="dxa" w:w="2400"/>
            <w:tcMar>
              <w:top w:type="dxa" w:w="50"/>
              <w:left w:type="dxa" w:w="90"/>
              <w:bottom w:type="dxa" w:w="50"/>
              <w:right w:type="dxa" w:w="90"/>
            </w:tcMar>
            <w:vAlign w:val="center"/>
          </w:tcPr>
          <w:p>
            <w:pPr>
              <w:spacing w:after="20"/>
              <w:jc w:val="left"/>
            </w:pPr>
            <w:r>
              <w:rPr>
                <w:b/>
                <w:bCs/>
                <w:sz w:val="18"/>
                <w:szCs w:val="18"/>
              </w:rPr>
              <w:t xml:space="preserve">Código y datos</w:t>
            </w:r>
          </w:p>
        </w:tc>
        <w:tc>
          <w:tcPr>
            <w:tcW w:type="dxa" w:w="6960"/>
            <w:tcMar>
              <w:top w:type="dxa" w:w="50"/>
              <w:left w:type="dxa" w:w="90"/>
              <w:bottom w:type="dxa" w:w="50"/>
              <w:right w:type="dxa" w:w="90"/>
            </w:tcMar>
            <w:vAlign w:val="center"/>
          </w:tcPr>
          <w:p>
            <w:pPr>
              <w:spacing w:after="20"/>
              <w:jc w:val="left"/>
            </w:pPr>
            <w:r>
              <w:rPr>
                <w:b w:val="false"/>
                <w:bCs w:val="false"/>
                <w:sz w:val="18"/>
                <w:szCs w:val="18"/>
              </w:rPr>
              <w:t xml:space="preserve">github.com/jkcuellarc-del/MercadoFarma, rama claude/nifty-ritchie-baueku</w:t>
            </w:r>
          </w:p>
        </w:tc>
      </w:tr>
      <w:tr>
        <w:trPr>
          <w:cantSplit/>
        </w:trPr>
        <w:tc>
          <w:tcPr>
            <w:tcW w:type="dxa" w:w="2400"/>
            <w:tcMar>
              <w:top w:type="dxa" w:w="50"/>
              <w:left w:type="dxa" w:w="90"/>
              <w:bottom w:type="dxa" w:w="50"/>
              <w:right w:type="dxa" w:w="90"/>
            </w:tcMar>
            <w:vAlign w:val="center"/>
          </w:tcPr>
          <w:p>
            <w:pPr>
              <w:spacing w:after="20"/>
              <w:jc w:val="left"/>
            </w:pPr>
            <w:r>
              <w:rPr>
                <w:b/>
                <w:bCs/>
                <w:sz w:val="18"/>
                <w:szCs w:val="18"/>
              </w:rPr>
              <w:t xml:space="preserve">Simulador (versión web)</w:t>
            </w:r>
          </w:p>
        </w:tc>
        <w:tc>
          <w:tcPr>
            <w:tcW w:type="dxa" w:w="6960"/>
            <w:tcMar>
              <w:top w:type="dxa" w:w="50"/>
              <w:left w:type="dxa" w:w="90"/>
              <w:bottom w:type="dxa" w:w="50"/>
              <w:right w:type="dxa" w:w="90"/>
            </w:tcMar>
            <w:vAlign w:val="center"/>
          </w:tcPr>
          <w:p>
            <w:pPr>
              <w:spacing w:after="20"/>
              <w:jc w:val="left"/>
            </w:pPr>
            <w:r>
              <w:rPr>
                <w:b w:val="false"/>
                <w:bCs w:val="false"/>
                <w:sz w:val="18"/>
                <w:szCs w:val="18"/>
              </w:rPr>
              <w:t xml:space="preserve">claude.ai/artifact/WpUvY3RBuvs6sNJ4LK84mc (privado; ver Sección 6.8)</w:t>
            </w:r>
          </w:p>
        </w:tc>
      </w:tr>
      <w:tr>
        <w:trPr>
          <w:cantSplit/>
        </w:trPr>
        <w:tc>
          <w:tcPr>
            <w:tcW w:type="dxa" w:w="2400"/>
            <w:tcMar>
              <w:top w:type="dxa" w:w="50"/>
              <w:left w:type="dxa" w:w="90"/>
              <w:bottom w:type="dxa" w:w="50"/>
              <w:right w:type="dxa" w:w="90"/>
            </w:tcMar>
            <w:vAlign w:val="center"/>
          </w:tcPr>
          <w:p>
            <w:pPr>
              <w:spacing w:after="20"/>
              <w:jc w:val="left"/>
            </w:pPr>
            <w:r>
              <w:rPr>
                <w:b/>
                <w:bCs/>
                <w:sz w:val="18"/>
                <w:szCs w:val="18"/>
              </w:rPr>
              <w:t xml:space="preserve">Convención</w:t>
            </w:r>
          </w:p>
        </w:tc>
        <w:tc>
          <w:tcPr>
            <w:tcW w:type="dxa" w:w="6960"/>
            <w:tcMar>
              <w:top w:type="dxa" w:w="50"/>
              <w:left w:type="dxa" w:w="90"/>
              <w:bottom w:type="dxa" w:w="50"/>
              <w:right w:type="dxa" w:w="90"/>
            </w:tcMar>
            <w:vAlign w:val="center"/>
          </w:tcPr>
          <w:p>
            <w:pPr>
              <w:spacing w:after="20"/>
              <w:jc w:val="left"/>
            </w:pPr>
            <w:r>
              <w:rPr>
                <w:b w:val="false"/>
                <w:bCs w:val="false"/>
                <w:sz w:val="18"/>
                <w:szCs w:val="18"/>
              </w:rPr>
              <w:t xml:space="preserve">El texto resaltado en amarillo es información que solo el equipo puede confirmar.</w:t>
            </w:r>
          </w:p>
        </w:tc>
      </w:tr>
    </w:tbl>
    <w:p>
      <w:pPr>
        <w:pStyle w:val="Heading1"/>
        <w:pageBreakBefore/>
      </w:pPr>
      <w:r>
        <w:t xml:space="preserve">Resumen</w:t>
      </w:r>
    </w:p>
    <w:p>
      <w:pPr>
        <w:spacing w:after="120" w:line="276"/>
      </w:pPr>
      <w:r>
        <w:t xml:space="preserve">El Laboratorio necesita una referencia de cuánto crecerá en 2027 el mercado farmacéutico de salud animal en Colombia y cuánto crecerá su propia venta, por especie (animales de compañía, bovinos, cerdos y aves). Con ventas mensuales de 2020-01 a 2026-06 (8.268 filas, 25 columnas) y variables económicas y de precios, se construyó un modelo de regresión regularizada (Ridge por especie) dentro de un Pipeline, con hiperparámetros elegidos por validación cruzada con purga temporal y una única consulta del conjunto de prueba.</w:t>
      </w:r>
    </w:p>
    <w:p>
      <w:pPr>
        <w:pStyle w:val="ListParagraph"/>
        <w:numPr>
          <w:ilvl w:val="0"/>
          <w:numId w:val="2"/>
        </w:numPr>
        <w:spacing w:after="60" w:line="264"/>
      </w:pPr>
      <w:r>
        <w:rPr>
          <w:b/>
          <w:bCs/>
        </w:rPr>
        <w:t xml:space="preserve">Proyección base 2027:</w:t>
      </w:r>
      <w:r>
        <w:t xml:space="preserve"> mercado total 15,9% y laboratorio 21,8% (nominal). Los márgenes de error típicos son de ±5,7 a ±8,3 puntos porcentuales en el mercado y de ±2,7 a ±6,0 en el laboratorio, según la especie.</w:t>
      </w:r>
    </w:p>
    <w:p>
      <w:pPr>
        <w:pStyle w:val="ListParagraph"/>
        <w:numPr>
          <w:ilvl w:val="0"/>
          <w:numId w:val="2"/>
        </w:numPr>
        <w:spacing w:after="60" w:line="264"/>
      </w:pPr>
      <w:r>
        <w:rPr>
          <w:b/>
          <w:bCs/>
        </w:rPr>
        <w:t xml:space="preserve">Evidencia:</w:t>
      </w:r>
      <w:r>
        <w:t xml:space="preserve"> en validación cruzada el modelo supera las dos líneas base (mercado: 4,9 pp frente a 5,1 y 5,7). En la prueba de 2026 el mercado </w:t>
      </w:r>
      <w:r>
        <w:rPr>
          <w:b/>
          <w:bCs/>
        </w:rPr>
        <w:t xml:space="preserve">no mejora</w:t>
      </w:r>
      <w:r>
        <w:t xml:space="preserve"> a las líneas base (8,4 pp frente a 8,7 y 8,4), mientras que el laboratorio sí (3,8 pp frente a 4,1 y 6,3).</w:t>
      </w:r>
    </w:p>
    <w:p>
      <w:pPr>
        <w:pStyle w:val="ListParagraph"/>
        <w:numPr>
          <w:ilvl w:val="0"/>
          <w:numId w:val="2"/>
        </w:numPr>
        <w:spacing w:after="60" w:line="264"/>
      </w:pPr>
      <w:r>
        <w:rPr>
          <w:b/>
          <w:bCs/>
        </w:rPr>
        <w:t xml:space="preserve">Límite central:</w:t>
      </w:r>
      <w:r>
        <w:t xml:space="preserve"> hay entre cinco y seis años de historia y variables macroeconómicas anuales. El modelo no estima efectos fiables del PIB, la inflación ni los precios. Con la regularización elegida, el crecimiento proyectado se parece al promedio histórico de cada especie con ajustes pequeños.</w:t>
      </w:r>
    </w:p>
    <w:p>
      <w:pPr>
        <w:pStyle w:val="ListParagraph"/>
        <w:numPr>
          <w:ilvl w:val="0"/>
          <w:numId w:val="2"/>
        </w:numPr>
        <w:spacing w:after="60" w:line="264"/>
      </w:pPr>
      <w:r>
        <w:rPr>
          <w:b/>
          <w:bCs/>
        </w:rPr>
        <w:t xml:space="preserve">Recomendación:</w:t>
      </w:r>
      <w:r>
        <w:t xml:space="preserve"> usar la proyección como referencia central con rango, no como compromiso; no usar la alerta de escenario "regular" del modelo como señal operativa; y revalidar el modelo cuando estén los datos de julio a diciembre de 2026.</w:t>
      </w:r>
    </w:p>
    <w:p>
      <w:pPr>
        <w:spacing w:after="80" w:before="200"/>
      </w:pPr>
      <w:r>
        <w:rPr>
          <w:b/>
          <w:bCs/>
          <w:color w:val="0B5D4F"/>
          <w:sz w:val="24"/>
          <w:szCs w:val="24"/>
        </w:rPr>
        <w:t xml:space="preserve">Contenido</w:t>
      </w:r>
    </w:p>
    <w:p>
      <w:pPr>
        <w:spacing w:after="40"/>
      </w:pPr>
      <w:r>
        <w:rPr>
          <w:sz w:val="22"/>
          <w:szCs w:val="22"/>
        </w:rPr>
        <w:t xml:space="preserve">1. Problema y decisión</w:t>
      </w:r>
    </w:p>
    <w:p>
      <w:pPr>
        <w:spacing w:after="40"/>
      </w:pPr>
      <w:r>
        <w:rPr>
          <w:sz w:val="22"/>
          <w:szCs w:val="22"/>
        </w:rPr>
        <w:t xml:space="preserve">2. Datos</w:t>
      </w:r>
    </w:p>
    <w:p>
      <w:pPr>
        <w:spacing w:after="40"/>
      </w:pPr>
      <w:r>
        <w:rPr>
          <w:sz w:val="22"/>
          <w:szCs w:val="22"/>
        </w:rPr>
        <w:t xml:space="preserve">3. Preparación y diseño experimental</w:t>
      </w:r>
    </w:p>
    <w:p>
      <w:pPr>
        <w:spacing w:after="40"/>
      </w:pPr>
      <w:r>
        <w:rPr>
          <w:sz w:val="22"/>
          <w:szCs w:val="22"/>
        </w:rPr>
        <w:t xml:space="preserve">4. Modelado</w:t>
      </w:r>
    </w:p>
    <w:p>
      <w:pPr>
        <w:spacing w:after="40"/>
      </w:pPr>
      <w:r>
        <w:rPr>
          <w:sz w:val="22"/>
          <w:szCs w:val="22"/>
        </w:rPr>
        <w:t xml:space="preserve">5. Evaluación</w:t>
      </w:r>
    </w:p>
    <w:p>
      <w:pPr>
        <w:spacing w:after="40"/>
      </w:pPr>
      <w:r>
        <w:rPr>
          <w:sz w:val="22"/>
          <w:szCs w:val="22"/>
        </w:rPr>
        <w:t xml:space="preserve">6. Decisión, límites y gobernanza</w:t>
      </w:r>
    </w:p>
    <w:p>
      <w:pPr>
        <w:spacing w:after="40"/>
      </w:pPr>
      <w:r>
        <w:rPr>
          <w:sz w:val="22"/>
          <w:szCs w:val="22"/>
        </w:rPr>
        <w:t xml:space="preserve">7. Roles y trabajo en equipo</w:t>
      </w:r>
    </w:p>
    <w:p>
      <w:pPr>
        <w:spacing w:after="40"/>
      </w:pPr>
      <w:r>
        <w:rPr>
          <w:sz w:val="22"/>
          <w:szCs w:val="22"/>
        </w:rPr>
        <w:t xml:space="preserve">Anexo A. Fuentes de datos (APA 7)</w:t>
      </w:r>
    </w:p>
    <w:p>
      <w:pPr>
        <w:spacing w:after="40"/>
      </w:pPr>
      <w:r>
        <w:rPr>
          <w:sz w:val="22"/>
          <w:szCs w:val="22"/>
        </w:rPr>
        <w:t xml:space="preserve">Anexo B. Reproducibilidad</w:t>
      </w:r>
    </w:p>
    <w:p>
      <w:pPr>
        <w:pStyle w:val="Heading1"/>
        <w:pageBreakBefore/>
        <w:spacing w:after="200" w:before="120"/>
      </w:pPr>
      <w:r>
        <w:t xml:space="preserve">1. Problema y decisión</w:t>
      </w:r>
    </w:p>
    <w:p>
      <w:pPr>
        <w:pStyle w:val="Heading2"/>
      </w:pPr>
      <w:r>
        <w:t xml:space="preserve">1.1 Contexto</w:t>
      </w:r>
    </w:p>
    <w:p>
      <w:pPr>
        <w:spacing w:after="120" w:line="276"/>
      </w:pPr>
      <w:r>
        <w:t xml:space="preserve">El Laboratorio es una compañía farmacéutica multinacional de salud animal con portafolio en Colombia para cuatro especies: animales de compañía (perros y gatos), bovinos, cerdos y aves. En cada especie participa en segmentos como biológicos y vacunas, antimicrobianos, antiparasitarios, hormonales, analgésicos (pain), productos no farmacéuticos y otros farmacéuticos. La base contiene las ventas mensuales de cada segmento, el mercado total en pesos colombianos (incluidos los segmentos y subgrupos donde el Laboratorio no compite) y la participación del Laboratorio.</w:t>
      </w:r>
    </w:p>
    <w:p>
      <w:pPr>
        <w:pStyle w:val="Heading2"/>
      </w:pPr>
      <w:r>
        <w:t xml:space="preserve">1.2 La decisión organizacional</w:t>
      </w:r>
    </w:p>
    <w:p>
      <w:pPr>
        <w:pBdr>
          <w:left w:val="single" w:color="0B5D4F" w:sz="24" w:space="8"/>
        </w:pBdr>
        <w:shd w:fill="EEF5F3" w:color="auto" w:val="clear"/>
        <w:spacing w:after="160" w:before="80" w:line="276"/>
        <w:ind w:left="160" w:right="80"/>
      </w:pPr>
      <w:r>
        <w:rPr>
          <w:b/>
          <w:bCs/>
        </w:rPr>
        <w:t xml:space="preserve">Decisión:</w:t>
      </w:r>
      <w:r>
        <w:t xml:space="preserve"> con qué crecimiento del mercado y de las ventas debe planear el Laboratorio el año 2027, por especie: metas comerciales, presupuesto, producción e inventario (los biológicos tienen vida útil limitada) y prioridades de inversión.</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600"/>
        <w:gridCol w:w="6760"/>
      </w:tblGrid>
      <w:tr>
        <w:trPr>
          <w:cantSplit/>
          <w:tblHeader/>
        </w:trPr>
        <w:tc>
          <w:tcPr>
            <w:tcW w:type="dxa" w:w="2600"/>
            <w:shd w:fill="E4EEEB" w:color="auto" w:val="clear"/>
            <w:tcMar>
              <w:top w:type="dxa" w:w="50"/>
              <w:left w:type="dxa" w:w="90"/>
              <w:bottom w:type="dxa" w:w="50"/>
              <w:right w:type="dxa" w:w="90"/>
            </w:tcMar>
            <w:vAlign w:val="center"/>
          </w:tcPr>
          <w:p>
            <w:pPr>
              <w:spacing w:after="20"/>
              <w:jc w:val="left"/>
            </w:pPr>
            <w:r>
              <w:rPr>
                <w:b/>
                <w:bCs/>
                <w:sz w:val="18"/>
                <w:szCs w:val="18"/>
              </w:rPr>
              <w:t xml:space="preserve">Pregunta</w:t>
            </w:r>
          </w:p>
        </w:tc>
        <w:tc>
          <w:tcPr>
            <w:tcW w:type="dxa" w:w="6760"/>
            <w:shd w:fill="E4EEEB" w:color="auto" w:val="clear"/>
            <w:tcMar>
              <w:top w:type="dxa" w:w="50"/>
              <w:left w:type="dxa" w:w="90"/>
              <w:bottom w:type="dxa" w:w="50"/>
              <w:right w:type="dxa" w:w="90"/>
            </w:tcMar>
            <w:vAlign w:val="center"/>
          </w:tcPr>
          <w:p>
            <w:pPr>
              <w:spacing w:after="20"/>
              <w:jc w:val="left"/>
            </w:pPr>
            <w:r>
              <w:rPr>
                <w:b/>
                <w:bCs/>
                <w:sz w:val="18"/>
                <w:szCs w:val="18"/>
              </w:rPr>
              <w:t xml:space="preserve">Respuesta</w:t>
            </w:r>
          </w:p>
        </w:tc>
      </w:tr>
      <w:tr>
        <w:trPr>
          <w:cantSplit/>
        </w:trPr>
        <w:tc>
          <w:tcPr>
            <w:tcW w:type="dxa" w:w="2600"/>
            <w:tcMar>
              <w:top w:type="dxa" w:w="50"/>
              <w:left w:type="dxa" w:w="90"/>
              <w:bottom w:type="dxa" w:w="50"/>
              <w:right w:type="dxa" w:w="90"/>
            </w:tcMar>
            <w:vAlign w:val="center"/>
          </w:tcPr>
          <w:p>
            <w:pPr>
              <w:spacing w:after="20"/>
              <w:jc w:val="left"/>
            </w:pPr>
            <w:r>
              <w:rPr>
                <w:b/>
                <w:bCs/>
                <w:sz w:val="18"/>
                <w:szCs w:val="18"/>
              </w:rPr>
              <w:t xml:space="preserve">¿Quién decide?</w:t>
            </w:r>
          </w:p>
        </w:tc>
        <w:tc>
          <w:tcPr>
            <w:tcW w:type="dxa" w:w="676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[confirmar: p. ej., Gerencia General con Dirección Comercial y Planeación Financiera; nombrar cargo y responsable]</w:t>
            </w:r>
          </w:p>
        </w:tc>
      </w:tr>
      <w:tr>
        <w:trPr>
          <w:cantSplit/>
        </w:trPr>
        <w:tc>
          <w:tcPr>
            <w:tcW w:type="dxa" w:w="2600"/>
            <w:tcMar>
              <w:top w:type="dxa" w:w="50"/>
              <w:left w:type="dxa" w:w="90"/>
              <w:bottom w:type="dxa" w:w="50"/>
              <w:right w:type="dxa" w:w="90"/>
            </w:tcMar>
            <w:vAlign w:val="center"/>
          </w:tcPr>
          <w:p>
            <w:pPr>
              <w:spacing w:after="20"/>
              <w:jc w:val="left"/>
            </w:pPr>
            <w:r>
              <w:rPr>
                <w:b/>
                <w:bCs/>
                <w:sz w:val="18"/>
                <w:szCs w:val="18"/>
              </w:rPr>
              <w:t xml:space="preserve">¿Cuándo?</w:t>
            </w:r>
          </w:p>
        </w:tc>
        <w:tc>
          <w:tcPr>
            <w:tcW w:type="dxa" w:w="676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[confirmar: fecha del ciclo de planeación 2027]</w:t>
            </w:r>
          </w:p>
        </w:tc>
      </w:tr>
      <w:tr>
        <w:trPr>
          <w:cantSplit/>
        </w:trPr>
        <w:tc>
          <w:tcPr>
            <w:tcW w:type="dxa" w:w="2600"/>
            <w:tcMar>
              <w:top w:type="dxa" w:w="50"/>
              <w:left w:type="dxa" w:w="90"/>
              <w:bottom w:type="dxa" w:w="50"/>
              <w:right w:type="dxa" w:w="90"/>
            </w:tcMar>
            <w:vAlign w:val="center"/>
          </w:tcPr>
          <w:p>
            <w:pPr>
              <w:spacing w:after="20"/>
              <w:jc w:val="left"/>
            </w:pPr>
            <w:r>
              <w:rPr>
                <w:b/>
                <w:bCs/>
                <w:sz w:val="18"/>
                <w:szCs w:val="18"/>
              </w:rPr>
              <w:t xml:space="preserve">¿A quién afecta directamente?</w:t>
            </w:r>
          </w:p>
        </w:tc>
        <w:tc>
          <w:tcPr>
            <w:tcW w:type="dxa" w:w="6760"/>
            <w:tcMar>
              <w:top w:type="dxa" w:w="50"/>
              <w:left w:type="dxa" w:w="90"/>
              <w:bottom w:type="dxa" w:w="50"/>
              <w:right w:type="dxa" w:w="90"/>
            </w:tcMar>
            <w:vAlign w:val="center"/>
          </w:tcPr>
          <w:p>
            <w:pPr>
              <w:spacing w:after="20"/>
              <w:jc w:val="left"/>
            </w:pPr>
            <w:r>
              <w:rPr>
                <w:b w:val="false"/>
                <w:bCs w:val="false"/>
                <w:sz w:val="18"/>
                <w:szCs w:val="18"/>
              </w:rPr>
              <w:t xml:space="preserve">Equipos comerciales de cada especie (metas y comisiones), cadena de suministro (inventarios), finanzas (presupuesto) y mercadeo (inversión por especie).</w:t>
            </w:r>
          </w:p>
        </w:tc>
      </w:tr>
      <w:tr>
        <w:trPr>
          <w:cantSplit/>
        </w:trPr>
        <w:tc>
          <w:tcPr>
            <w:tcW w:type="dxa" w:w="2600"/>
            <w:tcMar>
              <w:top w:type="dxa" w:w="50"/>
              <w:left w:type="dxa" w:w="90"/>
              <w:bottom w:type="dxa" w:w="50"/>
              <w:right w:type="dxa" w:w="90"/>
            </w:tcMar>
            <w:vAlign w:val="center"/>
          </w:tcPr>
          <w:p>
            <w:pPr>
              <w:spacing w:after="20"/>
              <w:jc w:val="left"/>
            </w:pPr>
            <w:r>
              <w:rPr>
                <w:b/>
                <w:bCs/>
                <w:sz w:val="18"/>
                <w:szCs w:val="18"/>
              </w:rPr>
              <w:t xml:space="preserve">¿A quién afecta indirectamente?</w:t>
            </w:r>
          </w:p>
        </w:tc>
        <w:tc>
          <w:tcPr>
            <w:tcW w:type="dxa" w:w="6760"/>
            <w:tcMar>
              <w:top w:type="dxa" w:w="50"/>
              <w:left w:type="dxa" w:w="90"/>
              <w:bottom w:type="dxa" w:w="50"/>
              <w:right w:type="dxa" w:w="90"/>
            </w:tcMar>
            <w:vAlign w:val="center"/>
          </w:tcPr>
          <w:p>
            <w:pPr>
              <w:spacing w:after="20"/>
              <w:jc w:val="left"/>
            </w:pPr>
            <w:r>
              <w:rPr>
                <w:b w:val="false"/>
                <w:bCs w:val="false"/>
                <w:sz w:val="18"/>
                <w:szCs w:val="18"/>
              </w:rPr>
              <w:t xml:space="preserve">Veterinarios, distribuidores y productores, por la disponibilidad y el precio de los productos; y los animales atendidos, por el acceso a vacunas y tratamientos.</w:t>
            </w:r>
          </w:p>
        </w:tc>
      </w:tr>
      <w:tr>
        <w:trPr>
          <w:cantSplit/>
        </w:trPr>
        <w:tc>
          <w:tcPr>
            <w:tcW w:type="dxa" w:w="2600"/>
            <w:tcMar>
              <w:top w:type="dxa" w:w="50"/>
              <w:left w:type="dxa" w:w="90"/>
              <w:bottom w:type="dxa" w:w="50"/>
              <w:right w:type="dxa" w:w="90"/>
            </w:tcMar>
            <w:vAlign w:val="center"/>
          </w:tcPr>
          <w:p>
            <w:pPr>
              <w:spacing w:after="20"/>
              <w:jc w:val="left"/>
            </w:pPr>
            <w:r>
              <w:rPr>
                <w:b/>
                <w:bCs/>
                <w:sz w:val="18"/>
                <w:szCs w:val="18"/>
              </w:rPr>
              <w:t xml:space="preserve">¿Qué se hace hoy?</w:t>
            </w:r>
          </w:p>
        </w:tc>
        <w:tc>
          <w:tcPr>
            <w:tcW w:type="dxa" w:w="676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[confirmar: método actual de planeación, p. ej., repetir el crecimiento del año anterior o ajuste por juicio de expertos]</w:t>
            </w:r>
            <w:r>
              <w:rPr>
                <w:b w:val="false"/>
                <w:bCs w:val="false"/>
                <w:sz w:val="18"/>
                <w:szCs w:val="18"/>
              </w:rPr>
              <w:t xml:space="preserve">. La línea base 1 de este informe reproduce la práctica de repetir el crecimiento de hace 12 meses.</w:t>
            </w:r>
          </w:p>
        </w:tc>
      </w:tr>
    </w:tbl>
    <w:p>
      <w:pPr>
        <w:spacing w:after="100"/>
      </w:pPr>
    </w:p>
    <w:p>
      <w:pPr>
        <w:spacing w:after="120" w:line="276"/>
      </w:pPr>
      <w:r>
        <w:t xml:space="preserve">La decisión se clasifica con tres escenarios definidos por el negocio: </w:t>
      </w:r>
      <w:r>
        <w:rPr>
          <w:b/>
          <w:bCs/>
        </w:rPr>
        <w:t xml:space="preserve">regular</w:t>
      </w:r>
      <w:r>
        <w:t xml:space="preserve"> si el crecimiento es menor a 8%, </w:t>
      </w:r>
      <w:r>
        <w:rPr>
          <w:b/>
          <w:bCs/>
        </w:rPr>
        <w:t xml:space="preserve">estable</w:t>
      </w:r>
      <w:r>
        <w:t xml:space="preserve"> si está entre 8% y 15%, y </w:t>
      </w:r>
      <w:r>
        <w:rPr>
          <w:b/>
          <w:bCs/>
        </w:rPr>
        <w:t xml:space="preserve">optimista</w:t>
      </w:r>
      <w:r>
        <w:t xml:space="preserve"> si supera 15%.</w:t>
      </w:r>
    </w:p>
    <w:p>
      <w:pPr>
        <w:pStyle w:val="Heading2"/>
      </w:pPr>
      <w:r>
        <w:t xml:space="preserve">1.3 Paradigma elegido y alternativas</w:t>
      </w:r>
    </w:p>
    <w:p>
      <w:pPr>
        <w:spacing w:after="120" w:line="276"/>
      </w:pPr>
      <w:r>
        <w:t xml:space="preserve">Se eligió </w:t>
      </w:r>
      <w:r>
        <w:rPr>
          <w:b/>
          <w:bCs/>
        </w:rPr>
        <w:t xml:space="preserve">aprendizaje supervisado de tipo regresión</w:t>
      </w:r>
      <w:r>
        <w:t xml:space="preserve">: predecir el crecimiento nominal de las ventas de 12 meses móviles (variable continua) a partir de variables económicas y de precios, y derivar el escenario aplicando los umbrales de 8% y 15%. Las alternativas se descartaron por las razones de la tabla.</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3000"/>
        <w:gridCol w:w="6360"/>
      </w:tblGrid>
      <w:tr>
        <w:trPr>
          <w:cantSplit/>
          <w:tblHeader/>
        </w:trPr>
        <w:tc>
          <w:tcPr>
            <w:tcW w:type="dxa" w:w="3000"/>
            <w:shd w:fill="E4EEEB" w:color="auto" w:val="clear"/>
            <w:tcMar>
              <w:top w:type="dxa" w:w="50"/>
              <w:left w:type="dxa" w:w="90"/>
              <w:bottom w:type="dxa" w:w="50"/>
              <w:right w:type="dxa" w:w="90"/>
            </w:tcMar>
            <w:vAlign w:val="center"/>
          </w:tcPr>
          <w:p>
            <w:pPr>
              <w:spacing w:after="20"/>
              <w:jc w:val="left"/>
            </w:pPr>
            <w:r>
              <w:rPr>
                <w:b/>
                <w:bCs/>
                <w:sz w:val="18"/>
                <w:szCs w:val="18"/>
              </w:rPr>
              <w:t xml:space="preserve">Alternativa</w:t>
            </w:r>
          </w:p>
        </w:tc>
        <w:tc>
          <w:tcPr>
            <w:tcW w:type="dxa" w:w="6360"/>
            <w:shd w:fill="E4EEEB" w:color="auto" w:val="clear"/>
            <w:tcMar>
              <w:top w:type="dxa" w:w="50"/>
              <w:left w:type="dxa" w:w="90"/>
              <w:bottom w:type="dxa" w:w="50"/>
              <w:right w:type="dxa" w:w="90"/>
            </w:tcMar>
            <w:vAlign w:val="center"/>
          </w:tcPr>
          <w:p>
            <w:pPr>
              <w:spacing w:after="20"/>
              <w:jc w:val="left"/>
            </w:pPr>
            <w:r>
              <w:rPr>
                <w:b/>
                <w:bCs/>
                <w:sz w:val="18"/>
                <w:szCs w:val="18"/>
              </w:rPr>
              <w:t xml:space="preserve">Por qué no es la principal</w:t>
            </w:r>
          </w:p>
        </w:tc>
      </w:tr>
      <w:tr>
        <w:trPr>
          <w:cantSplit/>
        </w:trPr>
        <w:tc>
          <w:tcPr>
            <w:tcW w:type="dxa" w:w="3000"/>
            <w:tcMar>
              <w:top w:type="dxa" w:w="50"/>
              <w:left w:type="dxa" w:w="90"/>
              <w:bottom w:type="dxa" w:w="50"/>
              <w:right w:type="dxa" w:w="90"/>
            </w:tcMar>
            <w:vAlign w:val="center"/>
          </w:tcPr>
          <w:p>
            <w:pPr>
              <w:spacing w:after="20"/>
              <w:jc w:val="left"/>
            </w:pPr>
            <w:r>
              <w:rPr>
                <w:b/>
                <w:bCs/>
                <w:sz w:val="18"/>
                <w:szCs w:val="18"/>
              </w:rPr>
              <w:t xml:space="preserve">Clasificación directa del escenario</w:t>
            </w:r>
          </w:p>
        </w:tc>
        <w:tc>
          <w:tcPr>
            <w:tcW w:type="dxa" w:w="6360"/>
            <w:tcMar>
              <w:top w:type="dxa" w:w="50"/>
              <w:left w:type="dxa" w:w="90"/>
              <w:bottom w:type="dxa" w:w="50"/>
              <w:right w:type="dxa" w:w="90"/>
            </w:tcMar>
            <w:vAlign w:val="center"/>
          </w:tcPr>
          <w:p>
            <w:pPr>
              <w:spacing w:after="20"/>
              <w:jc w:val="left"/>
            </w:pPr>
            <w:r>
              <w:rPr>
                <w:b w:val="false"/>
                <w:bCs w:val="false"/>
                <w:sz w:val="18"/>
                <w:szCs w:val="18"/>
              </w:rPr>
              <w:t xml:space="preserve">Desperdicia información (un 8,1% y un 14,9% serían iguales) y el desbalance es fuerte: solo 4,6% de las observaciones de entrenamiento del mercado son "regular". Se usa como lectura derivada y se evalúa aparte.</w:t>
            </w:r>
          </w:p>
        </w:tc>
      </w:tr>
      <w:tr>
        <w:trPr>
          <w:cantSplit/>
        </w:trPr>
        <w:tc>
          <w:tcPr>
            <w:tcW w:type="dxa" w:w="3000"/>
            <w:tcMar>
              <w:top w:type="dxa" w:w="50"/>
              <w:left w:type="dxa" w:w="90"/>
              <w:bottom w:type="dxa" w:w="50"/>
              <w:right w:type="dxa" w:w="90"/>
            </w:tcMar>
            <w:vAlign w:val="center"/>
          </w:tcPr>
          <w:p>
            <w:pPr>
              <w:spacing w:after="20"/>
              <w:jc w:val="left"/>
            </w:pPr>
            <w:r>
              <w:rPr>
                <w:b/>
                <w:bCs/>
                <w:sz w:val="18"/>
                <w:szCs w:val="18"/>
              </w:rPr>
              <w:t xml:space="preserve">Series de tiempo clásicas (ARIMA, suavizado exponencial)</w:t>
            </w:r>
          </w:p>
        </w:tc>
        <w:tc>
          <w:tcPr>
            <w:tcW w:type="dxa" w:w="6360"/>
            <w:tcMar>
              <w:top w:type="dxa" w:w="50"/>
              <w:left w:type="dxa" w:w="90"/>
              <w:bottom w:type="dxa" w:w="50"/>
              <w:right w:type="dxa" w:w="90"/>
            </w:tcMar>
            <w:vAlign w:val="center"/>
          </w:tcPr>
          <w:p>
            <w:pPr>
              <w:spacing w:after="20"/>
              <w:jc w:val="left"/>
            </w:pPr>
            <w:r>
              <w:rPr>
                <w:b w:val="false"/>
                <w:bCs w:val="false"/>
                <w:sz w:val="18"/>
                <w:szCs w:val="18"/>
              </w:rPr>
              <w:t xml:space="preserve">Proyectan con la propia historia, pero no permiten el objetivo de simular cambios en PIB, inflación, salario mínimo y precios. Se usan solo para completar julio a diciembre de 2026.</w:t>
            </w:r>
          </w:p>
        </w:tc>
      </w:tr>
      <w:tr>
        <w:trPr>
          <w:cantSplit/>
        </w:trPr>
        <w:tc>
          <w:tcPr>
            <w:tcW w:type="dxa" w:w="3000"/>
            <w:tcMar>
              <w:top w:type="dxa" w:w="50"/>
              <w:left w:type="dxa" w:w="90"/>
              <w:bottom w:type="dxa" w:w="50"/>
              <w:right w:type="dxa" w:w="90"/>
            </w:tcMar>
            <w:vAlign w:val="center"/>
          </w:tcPr>
          <w:p>
            <w:pPr>
              <w:spacing w:after="20"/>
              <w:jc w:val="left"/>
            </w:pPr>
            <w:r>
              <w:rPr>
                <w:b/>
                <w:bCs/>
                <w:sz w:val="18"/>
                <w:szCs w:val="18"/>
              </w:rPr>
              <w:t xml:space="preserve">Aprendizaje no supervisado</w:t>
            </w:r>
          </w:p>
        </w:tc>
        <w:tc>
          <w:tcPr>
            <w:tcW w:type="dxa" w:w="6360"/>
            <w:tcMar>
              <w:top w:type="dxa" w:w="50"/>
              <w:left w:type="dxa" w:w="90"/>
              <w:bottom w:type="dxa" w:w="50"/>
              <w:right w:type="dxa" w:w="90"/>
            </w:tcMar>
            <w:vAlign w:val="center"/>
          </w:tcPr>
          <w:p>
            <w:pPr>
              <w:spacing w:after="20"/>
              <w:jc w:val="left"/>
            </w:pPr>
            <w:r>
              <w:rPr>
                <w:b w:val="false"/>
                <w:bCs w:val="false"/>
                <w:sz w:val="18"/>
                <w:szCs w:val="18"/>
              </w:rPr>
              <w:t xml:space="preserve">No hay una variable objetivo que se pueda recuperar; no responde a la pregunta de proyección.</w:t>
            </w:r>
          </w:p>
        </w:tc>
      </w:tr>
      <w:tr>
        <w:trPr>
          <w:cantSplit/>
        </w:trPr>
        <w:tc>
          <w:tcPr>
            <w:tcW w:type="dxa" w:w="3000"/>
            <w:tcMar>
              <w:top w:type="dxa" w:w="50"/>
              <w:left w:type="dxa" w:w="90"/>
              <w:bottom w:type="dxa" w:w="50"/>
              <w:right w:type="dxa" w:w="90"/>
            </w:tcMar>
            <w:vAlign w:val="center"/>
          </w:tcPr>
          <w:p>
            <w:pPr>
              <w:spacing w:after="20"/>
              <w:jc w:val="left"/>
            </w:pPr>
            <w:r>
              <w:rPr>
                <w:b/>
                <w:bCs/>
                <w:sz w:val="18"/>
                <w:szCs w:val="18"/>
              </w:rPr>
              <w:t xml:space="preserve">Modelos causales o estructurales</w:t>
            </w:r>
          </w:p>
        </w:tc>
        <w:tc>
          <w:tcPr>
            <w:tcW w:type="dxa" w:w="6360"/>
            <w:tcMar>
              <w:top w:type="dxa" w:w="50"/>
              <w:left w:type="dxa" w:w="90"/>
              <w:bottom w:type="dxa" w:w="50"/>
              <w:right w:type="dxa" w:w="90"/>
            </w:tcMar>
            <w:vAlign w:val="center"/>
          </w:tcPr>
          <w:p>
            <w:pPr>
              <w:spacing w:after="20"/>
              <w:jc w:val="left"/>
            </w:pPr>
            <w:r>
              <w:rPr>
                <w:b w:val="false"/>
                <w:bCs w:val="false"/>
                <w:sz w:val="18"/>
                <w:szCs w:val="18"/>
              </w:rPr>
              <w:t xml:space="preserve">Requerirían datos de precios y demanda por producto, y diseños que la base no tiene (Sección 6.6).</w:t>
            </w:r>
          </w:p>
        </w:tc>
      </w:tr>
    </w:tbl>
    <w:p>
      <w:pPr>
        <w:pStyle w:val="Heading2"/>
      </w:pPr>
      <w:r>
        <w:t xml:space="preserve">1.4 Pérdida técnica y métrica de éxito del negocio</w:t>
      </w:r>
    </w:p>
    <w:p>
      <w:pPr>
        <w:spacing w:after="120" w:line="276"/>
      </w:pPr>
      <w:r>
        <w:t xml:space="preserve">El modelo se entrena minimizando un error de predicción, pero el negocio no gana ni pierde por ese error sino por las decisiones que se toman con él. Por eso se separan dos niveles: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1900"/>
        <w:gridCol w:w="4700"/>
        <w:gridCol w:w="2760"/>
      </w:tblGrid>
      <w:tr>
        <w:trPr>
          <w:cantSplit/>
          <w:tblHeader/>
        </w:trPr>
        <w:tc>
          <w:tcPr>
            <w:tcW w:type="dxa" w:w="1900"/>
            <w:shd w:fill="E4EEEB" w:color="auto" w:val="clear"/>
            <w:tcMar>
              <w:top w:type="dxa" w:w="50"/>
              <w:left w:type="dxa" w:w="90"/>
              <w:bottom w:type="dxa" w:w="50"/>
              <w:right w:type="dxa" w:w="90"/>
            </w:tcMar>
            <w:vAlign w:val="center"/>
          </w:tcPr>
          <w:p>
            <w:pPr>
              <w:spacing w:after="20"/>
              <w:jc w:val="left"/>
            </w:pPr>
            <w:r>
              <w:rPr>
                <w:b/>
                <w:bCs/>
                <w:sz w:val="18"/>
                <w:szCs w:val="18"/>
              </w:rPr>
              <w:t xml:space="preserve">Nivel</w:t>
            </w:r>
          </w:p>
        </w:tc>
        <w:tc>
          <w:tcPr>
            <w:tcW w:type="dxa" w:w="4700"/>
            <w:shd w:fill="E4EEEB" w:color="auto" w:val="clear"/>
            <w:tcMar>
              <w:top w:type="dxa" w:w="50"/>
              <w:left w:type="dxa" w:w="90"/>
              <w:bottom w:type="dxa" w:w="50"/>
              <w:right w:type="dxa" w:w="90"/>
            </w:tcMar>
            <w:vAlign w:val="center"/>
          </w:tcPr>
          <w:p>
            <w:pPr>
              <w:spacing w:after="20"/>
              <w:jc w:val="left"/>
            </w:pPr>
            <w:r>
              <w:rPr>
                <w:b/>
                <w:bCs/>
                <w:sz w:val="18"/>
                <w:szCs w:val="18"/>
              </w:rPr>
              <w:t xml:space="preserve">Métrica</w:t>
            </w:r>
          </w:p>
        </w:tc>
        <w:tc>
          <w:tcPr>
            <w:tcW w:type="dxa" w:w="2760"/>
            <w:shd w:fill="E4EEEB" w:color="auto" w:val="clear"/>
            <w:tcMar>
              <w:top w:type="dxa" w:w="50"/>
              <w:left w:type="dxa" w:w="90"/>
              <w:bottom w:type="dxa" w:w="50"/>
              <w:right w:type="dxa" w:w="90"/>
            </w:tcMar>
            <w:vAlign w:val="center"/>
          </w:tcPr>
          <w:p>
            <w:pPr>
              <w:spacing w:after="20"/>
              <w:jc w:val="left"/>
            </w:pPr>
            <w:r>
              <w:rPr>
                <w:b/>
                <w:bCs/>
                <w:sz w:val="18"/>
                <w:szCs w:val="18"/>
              </w:rPr>
              <w:t xml:space="preserve">Para qué sirve</w:t>
            </w:r>
          </w:p>
        </w:tc>
      </w:tr>
      <w:tr>
        <w:trPr>
          <w:cantSplit/>
        </w:trPr>
        <w:tc>
          <w:tcPr>
            <w:tcW w:type="dxa" w:w="1900"/>
            <w:tcMar>
              <w:top w:type="dxa" w:w="50"/>
              <w:left w:type="dxa" w:w="90"/>
              <w:bottom w:type="dxa" w:w="50"/>
              <w:right w:type="dxa" w:w="90"/>
            </w:tcMar>
            <w:vAlign w:val="center"/>
          </w:tcPr>
          <w:p>
            <w:pPr>
              <w:spacing w:after="20"/>
              <w:jc w:val="left"/>
            </w:pPr>
            <w:r>
              <w:rPr>
                <w:b/>
                <w:bCs/>
                <w:sz w:val="18"/>
                <w:szCs w:val="18"/>
              </w:rPr>
              <w:t xml:space="preserve">Pérdida técnica</w:t>
            </w:r>
          </w:p>
        </w:tc>
        <w:tc>
          <w:tcPr>
            <w:tcW w:type="dxa" w:w="4700"/>
            <w:tcMar>
              <w:top w:type="dxa" w:w="50"/>
              <w:left w:type="dxa" w:w="90"/>
              <w:bottom w:type="dxa" w:w="50"/>
              <w:right w:type="dxa" w:w="90"/>
            </w:tcMar>
            <w:vAlign w:val="center"/>
          </w:tcPr>
          <w:p>
            <w:pPr>
              <w:spacing w:after="20"/>
              <w:jc w:val="left"/>
            </w:pPr>
            <w:r>
              <w:rPr>
                <w:b w:val="false"/>
                <w:bCs w:val="false"/>
                <w:sz w:val="18"/>
                <w:szCs w:val="18"/>
              </w:rPr>
              <w:t xml:space="preserve">Error absoluto medio (MAE) y raíz del error cuadrático medio (RMSE), en puntos porcentuales de crecimiento.</w:t>
            </w:r>
          </w:p>
        </w:tc>
        <w:tc>
          <w:tcPr>
            <w:tcW w:type="dxa" w:w="2760"/>
            <w:tcMar>
              <w:top w:type="dxa" w:w="50"/>
              <w:left w:type="dxa" w:w="90"/>
              <w:bottom w:type="dxa" w:w="50"/>
              <w:right w:type="dxa" w:w="90"/>
            </w:tcMar>
            <w:vAlign w:val="center"/>
          </w:tcPr>
          <w:p>
            <w:pPr>
              <w:spacing w:after="20"/>
              <w:jc w:val="left"/>
            </w:pPr>
            <w:r>
              <w:rPr>
                <w:b w:val="false"/>
                <w:bCs w:val="false"/>
                <w:sz w:val="18"/>
                <w:szCs w:val="18"/>
              </w:rPr>
              <w:t xml:space="preserve">Entrenar, ajustar hiperparámetros y comparar modelos.</w:t>
            </w:r>
          </w:p>
        </w:tc>
      </w:tr>
      <w:tr>
        <w:trPr>
          <w:cantSplit/>
        </w:trPr>
        <w:tc>
          <w:tcPr>
            <w:tcW w:type="dxa" w:w="1900"/>
            <w:tcMar>
              <w:top w:type="dxa" w:w="50"/>
              <w:left w:type="dxa" w:w="90"/>
              <w:bottom w:type="dxa" w:w="50"/>
              <w:right w:type="dxa" w:w="90"/>
            </w:tcMar>
            <w:vAlign w:val="center"/>
          </w:tcPr>
          <w:p>
            <w:pPr>
              <w:spacing w:after="20"/>
              <w:jc w:val="left"/>
            </w:pPr>
            <w:r>
              <w:rPr>
                <w:b/>
                <w:bCs/>
                <w:sz w:val="18"/>
                <w:szCs w:val="18"/>
              </w:rPr>
              <w:t xml:space="preserve">Métrica de éxito del negocio</w:t>
            </w:r>
          </w:p>
        </w:tc>
        <w:tc>
          <w:tcPr>
            <w:tcW w:type="dxa" w:w="4700"/>
            <w:tcMar>
              <w:top w:type="dxa" w:w="50"/>
              <w:left w:type="dxa" w:w="90"/>
              <w:bottom w:type="dxa" w:w="50"/>
              <w:right w:type="dxa" w:w="90"/>
            </w:tcMar>
            <w:vAlign w:val="center"/>
          </w:tcPr>
          <w:p>
            <w:pPr>
              <w:spacing w:after="20"/>
              <w:jc w:val="left"/>
            </w:pPr>
            <w:r>
              <w:rPr>
                <w:b w:val="false"/>
                <w:bCs w:val="false"/>
                <w:sz w:val="18"/>
                <w:szCs w:val="18"/>
              </w:rPr>
              <w:t xml:space="preserve">Costo esperado por error de escenario, con dos reglas: pronosticar un escenario por encima del real cuesta el doble que pronosticarlo por debajo. Complementada con la proporción de escenarios acertados y la capacidad de detectar el escenario "regular".</w:t>
            </w:r>
          </w:p>
        </w:tc>
        <w:tc>
          <w:tcPr>
            <w:tcW w:type="dxa" w:w="2760"/>
            <w:tcMar>
              <w:top w:type="dxa" w:w="50"/>
              <w:left w:type="dxa" w:w="90"/>
              <w:bottom w:type="dxa" w:w="50"/>
              <w:right w:type="dxa" w:w="90"/>
            </w:tcMar>
            <w:vAlign w:val="center"/>
          </w:tcPr>
          <w:p>
            <w:pPr>
              <w:spacing w:after="20"/>
              <w:jc w:val="left"/>
            </w:pPr>
            <w:r>
              <w:rPr>
                <w:b w:val="false"/>
                <w:bCs w:val="false"/>
                <w:sz w:val="18"/>
                <w:szCs w:val="18"/>
              </w:rPr>
              <w:t xml:space="preserve">Decidir si el modelo mejora la planeación frente a la práctica actual.</w:t>
            </w:r>
          </w:p>
        </w:tc>
      </w:tr>
    </w:tbl>
    <w:p>
      <w:pPr>
        <w:spacing w:after="100"/>
      </w:pPr>
    </w:p>
    <w:p>
      <w:pPr>
        <w:spacing w:after="120" w:line="276"/>
      </w:pPr>
      <w:r>
        <w:rPr>
          <w:b/>
          <w:bCs/>
        </w:rPr>
        <w:t xml:space="preserve">Supuesto de costos (a validar con el negocio):</w:t>
      </w:r>
      <w:r>
        <w:t xml:space="preserve"> sobrestimar el crecimiento lleva a inventario excedente o vencido y a presupuestos y metas inalcanzables; subestimarlo lleva a desabastecimiento y ventas perdidas. Se asumió que lo primero es dos veces más costoso por cada nivel de escenario de diferencia. </w:t>
      </w:r>
      <w:r>
        <w:rPr>
          <w:highlight w:val="yellow"/>
          <w:highlightCs w:val="yellow"/>
        </w:rPr>
        <w:t xml:space="preserve">[Confirmar la proporción 2:1 y el costo de cada tipo de error con Finanzas o Cadena de Suministro]</w:t>
      </w:r>
      <w:r>
        <w:t xml:space="preserve">.</w:t>
      </w:r>
    </w:p>
    <w:p>
      <w:pPr>
        <w:spacing w:after="120" w:line="276"/>
      </w:pPr>
      <w:r>
        <w:rPr>
          <w:b/>
          <w:bCs/>
        </w:rPr>
        <w:t xml:space="preserve">Criterio de éxito:</w:t>
      </w:r>
      <w:r>
        <w:t xml:space="preserve"> el modelo agrega valor solo si supera a las dos líneas base (repetir el crecimiento de hace 12 meses y usar el promedio histórico de la especie) tanto en validación cruzada como en la prueba. </w:t>
      </w:r>
      <w:r>
        <w:rPr>
          <w:highlight w:val="yellow"/>
          <w:highlightCs w:val="yellow"/>
        </w:rPr>
        <w:t xml:space="preserve">[Confirmar con el negocio el error máximo tolerable, por ejemplo ±5 pp]</w:t>
      </w:r>
      <w:r>
        <w:t xml:space="preserve">.</w:t>
      </w:r>
    </w:p>
    <w:p>
      <w:pPr>
        <w:pStyle w:val="Heading2"/>
      </w:pPr>
      <w:r>
        <w:t xml:space="preserve">1.5 Riesgos éticos iniciales</w:t>
      </w:r>
    </w:p>
    <w:p>
      <w:pPr>
        <w:pStyle w:val="ListParagraph"/>
        <w:numPr>
          <w:ilvl w:val="0"/>
          <w:numId w:val="2"/>
        </w:numPr>
        <w:spacing w:after="60" w:line="264"/>
      </w:pPr>
      <w:r>
        <w:rPr>
          <w:b/>
          <w:bCs/>
        </w:rPr>
        <w:t xml:space="preserve">Presión sobre personas.</w:t>
      </w:r>
      <w:r>
        <w:t xml:space="preserve"> Si una proyección puntual se convierte en meta o base de comisiones, los equipos comerciales cargan el error del modelo. Mitigación: usar rangos y no atar compensaciones a una cifra puntual.</w:t>
      </w:r>
    </w:p>
    <w:p>
      <w:pPr>
        <w:pStyle w:val="ListParagraph"/>
        <w:numPr>
          <w:ilvl w:val="0"/>
          <w:numId w:val="2"/>
        </w:numPr>
        <w:spacing w:after="60" w:line="264"/>
      </w:pPr>
      <w:r>
        <w:rPr>
          <w:b/>
          <w:bCs/>
        </w:rPr>
        <w:t xml:space="preserve">Uso responsable de antimicrobianos.</w:t>
      </w:r>
      <w:r>
        <w:t xml:space="preserve"> Proyectar crecimiento del segmento antimicrobiano puede incentivar un empuje comercial que contradiga las prácticas de uso prudente y la resistencia antimicrobiana. Mitigación: tratar el pronóstico como insumo de abastecimiento, no como meta de promoción.</w:t>
      </w:r>
    </w:p>
    <w:p>
      <w:pPr>
        <w:pStyle w:val="ListParagraph"/>
        <w:numPr>
          <w:ilvl w:val="0"/>
          <w:numId w:val="2"/>
        </w:numPr>
        <w:spacing w:after="60" w:line="264"/>
      </w:pPr>
      <w:r>
        <w:rPr>
          <w:b/>
          <w:bCs/>
        </w:rPr>
        <w:t xml:space="preserve">Confidencialidad y uso autorizado de datos.</w:t>
      </w:r>
      <w:r>
        <w:t xml:space="preserve"> La base mezcla ventas internas con datos de mercado de terceros. Debe verificarse la autorización de uso y limitar la difusión del simulador y del repositorio. </w:t>
      </w:r>
      <w:r>
        <w:rPr>
          <w:highlight w:val="yellow"/>
          <w:highlightCs w:val="yellow"/>
        </w:rPr>
        <w:t xml:space="preserve">[Confirmar la autorización de uso de los datos de mercado]</w:t>
      </w:r>
      <w:r>
        <w:t xml:space="preserve">.</w:t>
      </w:r>
    </w:p>
    <w:p>
      <w:pPr>
        <w:pStyle w:val="ListParagraph"/>
        <w:numPr>
          <w:ilvl w:val="0"/>
          <w:numId w:val="2"/>
        </w:numPr>
        <w:spacing w:after="60" w:line="264"/>
      </w:pPr>
      <w:r>
        <w:rPr>
          <w:b/>
          <w:bCs/>
        </w:rPr>
        <w:t xml:space="preserve">Representatividad.</w:t>
      </w:r>
      <w:r>
        <w:t xml:space="preserve"> Las series cubren el agregado nacional y solo algunos segmentos por especie (Sección 2.3). El modelo no describe a pequeños productores, regiones o clínicas específicas.</w:t>
      </w:r>
    </w:p>
    <w:p>
      <w:pPr>
        <w:pStyle w:val="ListParagraph"/>
        <w:numPr>
          <w:ilvl w:val="0"/>
          <w:numId w:val="2"/>
        </w:numPr>
        <w:spacing w:after="60" w:line="264"/>
      </w:pPr>
      <w:r>
        <w:rPr>
          <w:b/>
          <w:bCs/>
        </w:rPr>
        <w:t xml:space="preserve">Sobreconfianza.</w:t>
      </w:r>
      <w:r>
        <w:t xml:space="preserve"> Con cinco años de historia, una cifra con decimales transmite una precisión que el modelo no tiene.</w:t>
      </w:r>
    </w:p>
    <w:p>
      <w:pPr>
        <w:pStyle w:val="ListParagraph"/>
        <w:numPr>
          <w:ilvl w:val="0"/>
          <w:numId w:val="2"/>
        </w:numPr>
        <w:spacing w:after="60" w:line="264"/>
      </w:pPr>
      <w:r>
        <w:rPr>
          <w:b/>
          <w:bCs/>
        </w:rPr>
        <w:t xml:space="preserve">Transparencia sobre el uso de IA.</w:t>
      </w:r>
      <w:r>
        <w:t xml:space="preserve"> El código y el análisis se desarrollaron con apoyo de un asistente de inteligencia artificial; las decisiones de negocio y de tratamiento de datos las tomó el equipo (Sección 7).</w:t>
      </w:r>
    </w:p>
    <w:p>
      <w:pPr>
        <w:pStyle w:val="Heading1"/>
        <w:spacing w:after="200" w:before="480"/>
      </w:pPr>
      <w:r>
        <w:t xml:space="preserve">2. Datos</w:t>
      </w:r>
    </w:p>
    <w:p>
      <w:pPr>
        <w:pStyle w:val="Heading2"/>
      </w:pPr>
      <w:r>
        <w:t xml:space="preserve">2.1 Ficha de datos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300"/>
        <w:gridCol w:w="7060"/>
      </w:tblGrid>
      <w:tr>
        <w:trPr>
          <w:cantSplit/>
          <w:tblHeader/>
        </w:trPr>
        <w:tc>
          <w:tcPr>
            <w:tcW w:type="dxa" w:w="2300"/>
            <w:shd w:fill="E4EEEB" w:color="auto" w:val="clear"/>
            <w:tcMar>
              <w:top w:type="dxa" w:w="50"/>
              <w:left w:type="dxa" w:w="90"/>
              <w:bottom w:type="dxa" w:w="50"/>
              <w:right w:type="dxa" w:w="90"/>
            </w:tcMar>
            <w:vAlign w:val="center"/>
          </w:tcPr>
          <w:p>
            <w:pPr>
              <w:spacing w:after="20"/>
              <w:jc w:val="left"/>
            </w:pPr>
            <w:r>
              <w:rPr>
                <w:b/>
                <w:bCs/>
                <w:sz w:val="18"/>
                <w:szCs w:val="18"/>
              </w:rPr>
              <w:t xml:space="preserve">Atributo</w:t>
            </w:r>
          </w:p>
        </w:tc>
        <w:tc>
          <w:tcPr>
            <w:tcW w:type="dxa" w:w="7060"/>
            <w:shd w:fill="E4EEEB" w:color="auto" w:val="clear"/>
            <w:tcMar>
              <w:top w:type="dxa" w:w="50"/>
              <w:left w:type="dxa" w:w="90"/>
              <w:bottom w:type="dxa" w:w="50"/>
              <w:right w:type="dxa" w:w="90"/>
            </w:tcMar>
            <w:vAlign w:val="center"/>
          </w:tcPr>
          <w:p>
            <w:pPr>
              <w:spacing w:after="20"/>
              <w:jc w:val="left"/>
            </w:pPr>
            <w:r>
              <w:rPr>
                <w:b/>
                <w:bCs/>
                <w:sz w:val="18"/>
                <w:szCs w:val="18"/>
              </w:rPr>
              <w:t xml:space="preserve">Descripción</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Nombre del conjunto</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Base Mercado Salud Animal.csv (formato largo: un registro por especie, segmento, subgrupo y mes)</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Fuente</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Ventas de mercado y del Laboratorio: </w:t>
            </w:r>
            <w:r>
              <w:rPr>
                <w:b w:val="false"/>
                <w:bCs w:val="false"/>
                <w:sz w:val="18"/>
                <w:szCs w:val="18"/>
                <w:highlight w:val="yellow"/>
                <w:highlightCs w:val="yellow"/>
              </w:rPr>
              <w:t xml:space="preserve">[confirmar proveedor y área que entregó la base]</w:t>
            </w:r>
            <w:r>
              <w:rPr>
                <w:b w:val="false"/>
                <w:bCs w:val="false"/>
                <w:sz w:val="18"/>
                <w:szCs w:val="18"/>
              </w:rPr>
              <w:t xml:space="preserve">. Variables externas (precios, IPC, PIB, salario mínimo): fuentes públicas del Anexo A. Población de perros y gatos: </w:t>
            </w:r>
            <w:r>
              <w:rPr>
                <w:b w:val="false"/>
                <w:bCs w:val="false"/>
                <w:sz w:val="18"/>
                <w:szCs w:val="18"/>
                <w:highlight w:val="yellow"/>
                <w:highlightCs w:val="yellow"/>
              </w:rPr>
              <w:t xml:space="preserve">[confirmar fuente; no figura en el Anexo A]</w:t>
            </w:r>
            <w:r>
              <w:rPr>
                <w:b w:val="false"/>
                <w:bCs w:val="false"/>
                <w:sz w:val="18"/>
                <w:szCs w:val="18"/>
              </w:rPr>
              <w:t xml:space="preserve">.</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Licencia o autorización</w:t>
            </w:r>
          </w:p>
        </w:tc>
        <w:tc>
          <w:tcPr>
            <w:tcW w:type="dxa" w:w="706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[confirmar autorización interna para usar las ventas y los datos de mercado de terceros]</w:t>
            </w:r>
            <w:r>
              <w:rPr>
                <w:b w:val="false"/>
                <w:bCs w:val="false"/>
                <w:sz w:val="18"/>
                <w:szCs w:val="18"/>
              </w:rPr>
              <w:t xml:space="preserve">. Fuentes públicas: sujetas a los términos de uso de cada entidad (DANE, Fedegán, Porkcolombia, Fenavi).</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Fecha de acceso</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El archivo se cargó al repositorio y se analizó el 20 de octubre de 2026. </w:t>
            </w:r>
            <w:r>
              <w:rPr>
                <w:b w:val="false"/>
                <w:bCs w:val="false"/>
                <w:sz w:val="18"/>
                <w:szCs w:val="18"/>
                <w:highlight w:val="yellow"/>
                <w:highlightCs w:val="yellow"/>
              </w:rPr>
              <w:t xml:space="preserve">[confirmar fecha de consulta de cada fuente pública]</w:t>
            </w:r>
            <w:r>
              <w:rPr>
                <w:b w:val="false"/>
                <w:bCs w:val="false"/>
                <w:sz w:val="18"/>
                <w:szCs w:val="18"/>
              </w:rPr>
              <w:t xml:space="preserve">.</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Filas y columnas</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8.270 filas leídas (2 vacías al final del archivo) y 25 columnas. Filas útiles: 8.268.</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Periodo</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Enero de 2020 a junio de 2026 (2020-01 a 2026-06); 78 meses.</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Granularidad</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106 series de mercado (especie × segmento × subgrupo), con 83 nombres de subgrupo.</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Cobertura por especie</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Animales de compañía: 6 segmentos. Bovinos: 5. Cerdos: 2 (antimicrobiano y vacunas). Aves: 1 (solo vacunas).</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Formato</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CSV con codificación UTF-8 con BOM; números con coma de miles; crecimientos como texto con signo %.</w:t>
            </w:r>
          </w:p>
        </w:tc>
      </w:tr>
    </w:tbl>
    <w:p>
      <w:pPr>
        <w:keepNext/>
        <w:spacing w:after="60" w:before="160"/>
      </w:pPr>
      <w:r>
        <w:rPr>
          <w:b/>
          <w:bCs/>
          <w:color w:val="13201C"/>
          <w:sz w:val="19"/>
          <w:szCs w:val="19"/>
        </w:rPr>
        <w:t xml:space="preserve">Tabla 1. Columnas, tipos y faltantes (sobre las filas útiles)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100"/>
        <w:gridCol w:w="2700"/>
        <w:gridCol w:w="1400"/>
        <w:gridCol w:w="3160"/>
      </w:tblGrid>
      <w:tr>
        <w:trPr>
          <w:cantSplit/>
          <w:tblHeader/>
        </w:trPr>
        <w:tc>
          <w:tcPr>
            <w:tcW w:type="dxa" w:w="2100"/>
            <w:shd w:fill="E4EEEB" w:color="auto" w:val="clear"/>
            <w:tcMar>
              <w:top w:type="dxa" w:w="50"/>
              <w:left w:type="dxa" w:w="90"/>
              <w:bottom w:type="dxa" w:w="50"/>
              <w:right w:type="dxa" w:w="90"/>
            </w:tcMar>
            <w:vAlign w:val="center"/>
          </w:tcPr>
          <w:p>
            <w:pPr>
              <w:spacing w:after="20"/>
              <w:jc w:val="left"/>
            </w:pPr>
            <w:r>
              <w:rPr>
                <w:b/>
                <w:bCs/>
                <w:sz w:val="18"/>
                <w:szCs w:val="18"/>
              </w:rPr>
              <w:t xml:space="preserve">Columna</w:t>
            </w:r>
          </w:p>
        </w:tc>
        <w:tc>
          <w:tcPr>
            <w:tcW w:type="dxa" w:w="2700"/>
            <w:shd w:fill="E4EEEB" w:color="auto" w:val="clear"/>
            <w:tcMar>
              <w:top w:type="dxa" w:w="50"/>
              <w:left w:type="dxa" w:w="90"/>
              <w:bottom w:type="dxa" w:w="50"/>
              <w:right w:type="dxa" w:w="90"/>
            </w:tcMar>
            <w:vAlign w:val="center"/>
          </w:tcPr>
          <w:p>
            <w:pPr>
              <w:spacing w:after="20"/>
              <w:jc w:val="left"/>
            </w:pPr>
            <w:r>
              <w:rPr>
                <w:b/>
                <w:bCs/>
                <w:sz w:val="18"/>
                <w:szCs w:val="18"/>
              </w:rPr>
              <w:t xml:space="preserve">Tipo</w:t>
            </w:r>
          </w:p>
        </w:tc>
        <w:tc>
          <w:tcPr>
            <w:tcW w:type="dxa" w:w="1400"/>
            <w:shd w:fill="E4EEEB" w:color="auto" w:val="clear"/>
            <w:tcMar>
              <w:top w:type="dxa" w:w="50"/>
              <w:left w:type="dxa" w:w="90"/>
              <w:bottom w:type="dxa" w:w="50"/>
              <w:right w:type="dxa" w:w="90"/>
            </w:tcMar>
            <w:vAlign w:val="center"/>
          </w:tcPr>
          <w:p>
            <w:pPr>
              <w:spacing w:after="20"/>
              <w:jc w:val="right"/>
            </w:pPr>
            <w:r>
              <w:rPr>
                <w:b/>
                <w:bCs/>
                <w:sz w:val="18"/>
                <w:szCs w:val="18"/>
              </w:rPr>
              <w:t xml:space="preserve">Faltantes</w:t>
            </w:r>
          </w:p>
        </w:tc>
        <w:tc>
          <w:tcPr>
            <w:tcW w:type="dxa" w:w="3160"/>
            <w:shd w:fill="E4EEEB" w:color="auto" w:val="clear"/>
            <w:tcMar>
              <w:top w:type="dxa" w:w="50"/>
              <w:left w:type="dxa" w:w="90"/>
              <w:bottom w:type="dxa" w:w="50"/>
              <w:right w:type="dxa" w:w="90"/>
            </w:tcMar>
            <w:vAlign w:val="center"/>
          </w:tcPr>
          <w:p>
            <w:pPr>
              <w:spacing w:after="20"/>
              <w:jc w:val="left"/>
            </w:pPr>
            <w:r>
              <w:rPr>
                <w:b/>
                <w:bCs/>
                <w:sz w:val="18"/>
                <w:szCs w:val="18"/>
              </w:rPr>
              <w:t xml:space="preserve">Observación</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Especie</w:t>
            </w:r>
          </w:p>
        </w:tc>
        <w:tc>
          <w:tcPr>
            <w:tcW w:type="dxa" w:w="2700"/>
            <w:tcMar>
              <w:top w:type="dxa" w:w="50"/>
              <w:left w:type="dxa" w:w="90"/>
              <w:bottom w:type="dxa" w:w="50"/>
              <w:right w:type="dxa" w:w="90"/>
            </w:tcMar>
            <w:vAlign w:val="center"/>
          </w:tcPr>
          <w:p>
            <w:pPr>
              <w:spacing w:after="20"/>
              <w:jc w:val="left"/>
            </w:pPr>
            <w:r>
              <w:rPr>
                <w:sz w:val="18"/>
                <w:szCs w:val="18"/>
              </w:rPr>
              <w:t xml:space="preserve">Categórica</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160"/>
            <w:tcMar>
              <w:top w:type="dxa" w:w="50"/>
              <w:left w:type="dxa" w:w="90"/>
              <w:bottom w:type="dxa" w:w="50"/>
              <w:right w:type="dxa" w:w="90"/>
            </w:tcMar>
            <w:vAlign w:val="center"/>
          </w:tcPr>
          <w:p>
            <w:pPr>
              <w:spacing w:after="20"/>
              <w:jc w:val="left"/>
            </w:pP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Segmento</w:t>
            </w:r>
          </w:p>
        </w:tc>
        <w:tc>
          <w:tcPr>
            <w:tcW w:type="dxa" w:w="2700"/>
            <w:tcMar>
              <w:top w:type="dxa" w:w="50"/>
              <w:left w:type="dxa" w:w="90"/>
              <w:bottom w:type="dxa" w:w="50"/>
              <w:right w:type="dxa" w:w="90"/>
            </w:tcMar>
            <w:vAlign w:val="center"/>
          </w:tcPr>
          <w:p>
            <w:pPr>
              <w:spacing w:after="20"/>
              <w:jc w:val="left"/>
            </w:pPr>
            <w:r>
              <w:rPr>
                <w:sz w:val="18"/>
                <w:szCs w:val="18"/>
              </w:rPr>
              <w:t xml:space="preserve">Categórica</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160"/>
            <w:tcMar>
              <w:top w:type="dxa" w:w="50"/>
              <w:left w:type="dxa" w:w="90"/>
              <w:bottom w:type="dxa" w:w="50"/>
              <w:right w:type="dxa" w:w="90"/>
            </w:tcMar>
            <w:vAlign w:val="center"/>
          </w:tcPr>
          <w:p>
            <w:pPr>
              <w:spacing w:after="20"/>
              <w:jc w:val="left"/>
            </w:pP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Año</w:t>
            </w:r>
          </w:p>
        </w:tc>
        <w:tc>
          <w:tcPr>
            <w:tcW w:type="dxa" w:w="2700"/>
            <w:tcMar>
              <w:top w:type="dxa" w:w="50"/>
              <w:left w:type="dxa" w:w="90"/>
              <w:bottom w:type="dxa" w:w="50"/>
              <w:right w:type="dxa" w:w="90"/>
            </w:tcMar>
            <w:vAlign w:val="center"/>
          </w:tcPr>
          <w:p>
            <w:pPr>
              <w:spacing w:after="20"/>
              <w:jc w:val="left"/>
            </w:pPr>
            <w:r>
              <w:rPr>
                <w:sz w:val="18"/>
                <w:szCs w:val="18"/>
              </w:rPr>
              <w:t xml:space="preserve">Entera</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160"/>
            <w:tcMar>
              <w:top w:type="dxa" w:w="50"/>
              <w:left w:type="dxa" w:w="90"/>
              <w:bottom w:type="dxa" w:w="50"/>
              <w:right w:type="dxa" w:w="90"/>
            </w:tcMar>
            <w:vAlign w:val="center"/>
          </w:tcPr>
          <w:p>
            <w:pPr>
              <w:spacing w:after="20"/>
              <w:jc w:val="left"/>
            </w:pP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Subgrupo</w:t>
            </w:r>
          </w:p>
        </w:tc>
        <w:tc>
          <w:tcPr>
            <w:tcW w:type="dxa" w:w="2700"/>
            <w:tcMar>
              <w:top w:type="dxa" w:w="50"/>
              <w:left w:type="dxa" w:w="90"/>
              <w:bottom w:type="dxa" w:w="50"/>
              <w:right w:type="dxa" w:w="90"/>
            </w:tcMar>
            <w:vAlign w:val="center"/>
          </w:tcPr>
          <w:p>
            <w:pPr>
              <w:spacing w:after="20"/>
              <w:jc w:val="left"/>
            </w:pPr>
            <w:r>
              <w:rPr>
                <w:sz w:val="18"/>
                <w:szCs w:val="18"/>
              </w:rPr>
              <w:t xml:space="preserve">Categórica</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160"/>
            <w:tcMar>
              <w:top w:type="dxa" w:w="50"/>
              <w:left w:type="dxa" w:w="90"/>
              <w:bottom w:type="dxa" w:w="50"/>
              <w:right w:type="dxa" w:w="90"/>
            </w:tcMar>
            <w:vAlign w:val="center"/>
          </w:tcPr>
          <w:p>
            <w:pPr>
              <w:spacing w:after="20"/>
              <w:jc w:val="left"/>
            </w:pP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Mes</w:t>
            </w:r>
          </w:p>
        </w:tc>
        <w:tc>
          <w:tcPr>
            <w:tcW w:type="dxa" w:w="2700"/>
            <w:tcMar>
              <w:top w:type="dxa" w:w="50"/>
              <w:left w:type="dxa" w:w="90"/>
              <w:bottom w:type="dxa" w:w="50"/>
              <w:right w:type="dxa" w:w="90"/>
            </w:tcMar>
            <w:vAlign w:val="center"/>
          </w:tcPr>
          <w:p>
            <w:pPr>
              <w:spacing w:after="20"/>
              <w:jc w:val="left"/>
            </w:pPr>
            <w:r>
              <w:rPr>
                <w:sz w:val="18"/>
                <w:szCs w:val="18"/>
              </w:rPr>
              <w:t xml:space="preserve">Categórica (nombre del mes)</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160"/>
            <w:tcMar>
              <w:top w:type="dxa" w:w="50"/>
              <w:left w:type="dxa" w:w="90"/>
              <w:bottom w:type="dxa" w:w="50"/>
              <w:right w:type="dxa" w:w="90"/>
            </w:tcMar>
            <w:vAlign w:val="center"/>
          </w:tcPr>
          <w:p>
            <w:pPr>
              <w:spacing w:after="20"/>
              <w:jc w:val="left"/>
            </w:pP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Mercado</w:t>
            </w:r>
          </w:p>
        </w:tc>
        <w:tc>
          <w:tcPr>
            <w:tcW w:type="dxa" w:w="2700"/>
            <w:tcMar>
              <w:top w:type="dxa" w:w="50"/>
              <w:left w:type="dxa" w:w="90"/>
              <w:bottom w:type="dxa" w:w="50"/>
              <w:right w:type="dxa" w:w="90"/>
            </w:tcMar>
            <w:vAlign w:val="center"/>
          </w:tcPr>
          <w:p>
            <w:pPr>
              <w:spacing w:after="20"/>
              <w:jc w:val="left"/>
            </w:pPr>
            <w:r>
              <w:rPr>
                <w:sz w:val="18"/>
                <w:szCs w:val="18"/>
              </w:rPr>
              <w:t xml:space="preserve">Numérica (COP; texto con comas)</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160"/>
            <w:tcMar>
              <w:top w:type="dxa" w:w="50"/>
              <w:left w:type="dxa" w:w="90"/>
              <w:bottom w:type="dxa" w:w="50"/>
              <w:right w:type="dxa" w:w="90"/>
            </w:tcMar>
            <w:vAlign w:val="center"/>
          </w:tcPr>
          <w:p>
            <w:pPr>
              <w:spacing w:after="20"/>
              <w:jc w:val="left"/>
            </w:pPr>
            <w:r>
              <w:rPr>
                <w:sz w:val="18"/>
                <w:szCs w:val="18"/>
              </w:rPr>
              <w:t xml:space="preserve">Incluye 429 meses con valor cero</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Crec Mercado Q movil</w:t>
            </w:r>
          </w:p>
        </w:tc>
        <w:tc>
          <w:tcPr>
            <w:tcW w:type="dxa" w:w="2700"/>
            <w:tcMar>
              <w:top w:type="dxa" w:w="50"/>
              <w:left w:type="dxa" w:w="90"/>
              <w:bottom w:type="dxa" w:w="50"/>
              <w:right w:type="dxa" w:w="90"/>
            </w:tcMar>
            <w:vAlign w:val="center"/>
          </w:tcPr>
          <w:p>
            <w:pPr>
              <w:spacing w:after="20"/>
              <w:jc w:val="left"/>
            </w:pPr>
            <w:r>
              <w:rPr>
                <w:sz w:val="18"/>
                <w:szCs w:val="18"/>
              </w:rPr>
              <w:t xml:space="preserve">Porcentaje (texto con %)</w:t>
            </w:r>
          </w:p>
        </w:tc>
        <w:tc>
          <w:tcPr>
            <w:tcW w:type="dxa" w:w="1400"/>
            <w:tcMar>
              <w:top w:type="dxa" w:w="50"/>
              <w:left w:type="dxa" w:w="90"/>
              <w:bottom w:type="dxa" w:w="50"/>
              <w:right w:type="dxa" w:w="90"/>
            </w:tcMar>
            <w:vAlign w:val="center"/>
          </w:tcPr>
          <w:p>
            <w:pPr>
              <w:spacing w:after="20"/>
              <w:jc w:val="right"/>
            </w:pPr>
            <w:r>
              <w:rPr>
                <w:sz w:val="18"/>
                <w:szCs w:val="18"/>
              </w:rPr>
              <w:t xml:space="preserve">1.683 (20,4%)</w:t>
            </w:r>
          </w:p>
        </w:tc>
        <w:tc>
          <w:tcPr>
            <w:tcW w:type="dxa" w:w="3160"/>
            <w:tcMar>
              <w:top w:type="dxa" w:w="50"/>
              <w:left w:type="dxa" w:w="90"/>
              <w:bottom w:type="dxa" w:w="50"/>
              <w:right w:type="dxa" w:w="90"/>
            </w:tcMar>
            <w:vAlign w:val="center"/>
          </w:tcPr>
          <w:p>
            <w:pPr>
              <w:spacing w:after="20"/>
              <w:jc w:val="left"/>
            </w:pPr>
            <w:r>
              <w:rPr>
                <w:sz w:val="18"/>
                <w:szCs w:val="18"/>
              </w:rPr>
              <w:t xml:space="preserve">Vacío al inicio de cada serie</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Crec Mercado Año</w:t>
            </w:r>
          </w:p>
        </w:tc>
        <w:tc>
          <w:tcPr>
            <w:tcW w:type="dxa" w:w="2700"/>
            <w:tcMar>
              <w:top w:type="dxa" w:w="50"/>
              <w:left w:type="dxa" w:w="90"/>
              <w:bottom w:type="dxa" w:w="50"/>
              <w:right w:type="dxa" w:w="90"/>
            </w:tcMar>
            <w:vAlign w:val="center"/>
          </w:tcPr>
          <w:p>
            <w:pPr>
              <w:spacing w:after="20"/>
              <w:jc w:val="left"/>
            </w:pPr>
            <w:r>
              <w:rPr>
                <w:sz w:val="18"/>
                <w:szCs w:val="18"/>
              </w:rPr>
              <w:t xml:space="preserve">Porcentaje (texto con %)</w:t>
            </w:r>
          </w:p>
        </w:tc>
        <w:tc>
          <w:tcPr>
            <w:tcW w:type="dxa" w:w="1400"/>
            <w:tcMar>
              <w:top w:type="dxa" w:w="50"/>
              <w:left w:type="dxa" w:w="90"/>
              <w:bottom w:type="dxa" w:w="50"/>
              <w:right w:type="dxa" w:w="90"/>
            </w:tcMar>
            <w:vAlign w:val="center"/>
          </w:tcPr>
          <w:p>
            <w:pPr>
              <w:spacing w:after="20"/>
              <w:jc w:val="right"/>
            </w:pPr>
            <w:r>
              <w:rPr>
                <w:sz w:val="18"/>
                <w:szCs w:val="18"/>
              </w:rPr>
              <w:t xml:space="preserve">1.428 (17,3%)</w:t>
            </w:r>
          </w:p>
        </w:tc>
        <w:tc>
          <w:tcPr>
            <w:tcW w:type="dxa" w:w="3160"/>
            <w:tcMar>
              <w:top w:type="dxa" w:w="50"/>
              <w:left w:type="dxa" w:w="90"/>
              <w:bottom w:type="dxa" w:w="50"/>
              <w:right w:type="dxa" w:w="90"/>
            </w:tcMar>
            <w:vAlign w:val="center"/>
          </w:tcPr>
          <w:p>
            <w:pPr>
              <w:spacing w:after="20"/>
              <w:jc w:val="left"/>
            </w:pPr>
            <w:r>
              <w:rPr>
                <w:sz w:val="18"/>
                <w:szCs w:val="18"/>
              </w:rPr>
              <w:t xml:space="preserve">Definición no reconciliable; no se usa</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Fecha</w:t>
            </w:r>
          </w:p>
        </w:tc>
        <w:tc>
          <w:tcPr>
            <w:tcW w:type="dxa" w:w="2700"/>
            <w:tcMar>
              <w:top w:type="dxa" w:w="50"/>
              <w:left w:type="dxa" w:w="90"/>
              <w:bottom w:type="dxa" w:w="50"/>
              <w:right w:type="dxa" w:w="90"/>
            </w:tcMar>
            <w:vAlign w:val="center"/>
          </w:tcPr>
          <w:p>
            <w:pPr>
              <w:spacing w:after="20"/>
              <w:jc w:val="left"/>
            </w:pPr>
            <w:r>
              <w:rPr>
                <w:sz w:val="18"/>
                <w:szCs w:val="18"/>
              </w:rPr>
              <w:t xml:space="preserve">Fecha (dd/mm/aaaa)</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160"/>
            <w:tcMar>
              <w:top w:type="dxa" w:w="50"/>
              <w:left w:type="dxa" w:w="90"/>
              <w:bottom w:type="dxa" w:w="50"/>
              <w:right w:type="dxa" w:w="90"/>
            </w:tcMar>
            <w:vAlign w:val="center"/>
          </w:tcPr>
          <w:p>
            <w:pPr>
              <w:spacing w:after="20"/>
              <w:jc w:val="left"/>
            </w:pP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Grupo Empresa</w:t>
            </w:r>
          </w:p>
        </w:tc>
        <w:tc>
          <w:tcPr>
            <w:tcW w:type="dxa" w:w="2700"/>
            <w:tcMar>
              <w:top w:type="dxa" w:w="50"/>
              <w:left w:type="dxa" w:w="90"/>
              <w:bottom w:type="dxa" w:w="50"/>
              <w:right w:type="dxa" w:w="90"/>
            </w:tcMar>
            <w:vAlign w:val="center"/>
          </w:tcPr>
          <w:p>
            <w:pPr>
              <w:spacing w:after="20"/>
              <w:jc w:val="left"/>
            </w:pPr>
            <w:r>
              <w:rPr>
                <w:sz w:val="18"/>
                <w:szCs w:val="18"/>
              </w:rPr>
              <w:t xml:space="preserve">Categórica (etiqueta ambigua)</w:t>
            </w:r>
          </w:p>
        </w:tc>
        <w:tc>
          <w:tcPr>
            <w:tcW w:type="dxa" w:w="1400"/>
            <w:tcMar>
              <w:top w:type="dxa" w:w="50"/>
              <w:left w:type="dxa" w:w="90"/>
              <w:bottom w:type="dxa" w:w="50"/>
              <w:right w:type="dxa" w:w="90"/>
            </w:tcMar>
            <w:vAlign w:val="center"/>
          </w:tcPr>
          <w:p>
            <w:pPr>
              <w:spacing w:after="20"/>
              <w:jc w:val="right"/>
            </w:pPr>
            <w:r>
              <w:rPr>
                <w:sz w:val="18"/>
                <w:szCs w:val="18"/>
              </w:rPr>
              <w:t xml:space="preserve">24 (0,3%)</w:t>
            </w:r>
          </w:p>
        </w:tc>
        <w:tc>
          <w:tcPr>
            <w:tcW w:type="dxa" w:w="3160"/>
            <w:tcMar>
              <w:top w:type="dxa" w:w="50"/>
              <w:left w:type="dxa" w:w="90"/>
              <w:bottom w:type="dxa" w:w="50"/>
              <w:right w:type="dxa" w:w="90"/>
            </w:tcMar>
            <w:vAlign w:val="center"/>
          </w:tcPr>
          <w:p>
            <w:pPr>
              <w:spacing w:after="20"/>
              <w:jc w:val="left"/>
            </w:pPr>
            <w:r>
              <w:rPr>
                <w:sz w:val="18"/>
                <w:szCs w:val="18"/>
              </w:rPr>
              <w:t xml:space="preserve">Etiqueta ambigua; no se usa</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Precio Leche</w:t>
            </w:r>
          </w:p>
        </w:tc>
        <w:tc>
          <w:tcPr>
            <w:tcW w:type="dxa" w:w="2700"/>
            <w:tcMar>
              <w:top w:type="dxa" w:w="50"/>
              <w:left w:type="dxa" w:w="90"/>
              <w:bottom w:type="dxa" w:w="50"/>
              <w:right w:type="dxa" w:w="90"/>
            </w:tcMar>
            <w:vAlign w:val="center"/>
          </w:tcPr>
          <w:p>
            <w:pPr>
              <w:spacing w:after="20"/>
              <w:jc w:val="left"/>
            </w:pPr>
            <w:r>
              <w:rPr>
                <w:sz w:val="18"/>
                <w:szCs w:val="18"/>
              </w:rPr>
              <w:t xml:space="preserve">Numérica (COP/litro)</w:t>
            </w:r>
          </w:p>
        </w:tc>
        <w:tc>
          <w:tcPr>
            <w:tcW w:type="dxa" w:w="1400"/>
            <w:tcMar>
              <w:top w:type="dxa" w:w="50"/>
              <w:left w:type="dxa" w:w="90"/>
              <w:bottom w:type="dxa" w:w="50"/>
              <w:right w:type="dxa" w:w="90"/>
            </w:tcMar>
            <w:vAlign w:val="center"/>
          </w:tcPr>
          <w:p>
            <w:pPr>
              <w:spacing w:after="20"/>
              <w:jc w:val="right"/>
            </w:pPr>
            <w:r>
              <w:rPr>
                <w:sz w:val="18"/>
                <w:szCs w:val="18"/>
              </w:rPr>
              <w:t xml:space="preserve">5.616 (67,9%)</w:t>
            </w:r>
          </w:p>
        </w:tc>
        <w:tc>
          <w:tcPr>
            <w:tcW w:type="dxa" w:w="3160"/>
            <w:tcMar>
              <w:top w:type="dxa" w:w="50"/>
              <w:left w:type="dxa" w:w="90"/>
              <w:bottom w:type="dxa" w:w="50"/>
              <w:right w:type="dxa" w:w="90"/>
            </w:tcMar>
            <w:vAlign w:val="center"/>
          </w:tcPr>
          <w:p>
            <w:pPr>
              <w:spacing w:after="20"/>
              <w:jc w:val="left"/>
            </w:pPr>
            <w:r>
              <w:rPr>
                <w:sz w:val="18"/>
                <w:szCs w:val="18"/>
              </w:rPr>
              <w:t xml:space="preserve">Solo bovinos (faltante por diseño)</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Precio Carne Res</w:t>
            </w:r>
          </w:p>
        </w:tc>
        <w:tc>
          <w:tcPr>
            <w:tcW w:type="dxa" w:w="2700"/>
            <w:tcMar>
              <w:top w:type="dxa" w:w="50"/>
              <w:left w:type="dxa" w:w="90"/>
              <w:bottom w:type="dxa" w:w="50"/>
              <w:right w:type="dxa" w:w="90"/>
            </w:tcMar>
            <w:vAlign w:val="center"/>
          </w:tcPr>
          <w:p>
            <w:pPr>
              <w:spacing w:after="20"/>
              <w:jc w:val="left"/>
            </w:pPr>
            <w:r>
              <w:rPr>
                <w:sz w:val="18"/>
                <w:szCs w:val="18"/>
              </w:rPr>
              <w:t xml:space="preserve">Numérica (COP/kg)</w:t>
            </w:r>
          </w:p>
        </w:tc>
        <w:tc>
          <w:tcPr>
            <w:tcW w:type="dxa" w:w="1400"/>
            <w:tcMar>
              <w:top w:type="dxa" w:w="50"/>
              <w:left w:type="dxa" w:w="90"/>
              <w:bottom w:type="dxa" w:w="50"/>
              <w:right w:type="dxa" w:w="90"/>
            </w:tcMar>
            <w:vAlign w:val="center"/>
          </w:tcPr>
          <w:p>
            <w:pPr>
              <w:spacing w:after="20"/>
              <w:jc w:val="right"/>
            </w:pPr>
            <w:r>
              <w:rPr>
                <w:sz w:val="18"/>
                <w:szCs w:val="18"/>
              </w:rPr>
              <w:t xml:space="preserve">5.616 (67,9%)</w:t>
            </w:r>
          </w:p>
        </w:tc>
        <w:tc>
          <w:tcPr>
            <w:tcW w:type="dxa" w:w="3160"/>
            <w:tcMar>
              <w:top w:type="dxa" w:w="50"/>
              <w:left w:type="dxa" w:w="90"/>
              <w:bottom w:type="dxa" w:w="50"/>
              <w:right w:type="dxa" w:w="90"/>
            </w:tcMar>
            <w:vAlign w:val="center"/>
          </w:tcPr>
          <w:p>
            <w:pPr>
              <w:spacing w:after="20"/>
              <w:jc w:val="left"/>
            </w:pPr>
            <w:r>
              <w:rPr>
                <w:sz w:val="18"/>
                <w:szCs w:val="18"/>
              </w:rPr>
              <w:t xml:space="preserve">Solo bovinos (faltante por diseño)</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Precio carne cerdo</w:t>
            </w:r>
          </w:p>
        </w:tc>
        <w:tc>
          <w:tcPr>
            <w:tcW w:type="dxa" w:w="2700"/>
            <w:tcMar>
              <w:top w:type="dxa" w:w="50"/>
              <w:left w:type="dxa" w:w="90"/>
              <w:bottom w:type="dxa" w:w="50"/>
              <w:right w:type="dxa" w:w="90"/>
            </w:tcMar>
            <w:vAlign w:val="center"/>
          </w:tcPr>
          <w:p>
            <w:pPr>
              <w:spacing w:after="20"/>
              <w:jc w:val="left"/>
            </w:pPr>
            <w:r>
              <w:rPr>
                <w:sz w:val="18"/>
                <w:szCs w:val="18"/>
              </w:rPr>
              <w:t xml:space="preserve">Numérica (COP/kg)</w:t>
            </w:r>
          </w:p>
        </w:tc>
        <w:tc>
          <w:tcPr>
            <w:tcW w:type="dxa" w:w="1400"/>
            <w:tcMar>
              <w:top w:type="dxa" w:w="50"/>
              <w:left w:type="dxa" w:w="90"/>
              <w:bottom w:type="dxa" w:w="50"/>
              <w:right w:type="dxa" w:w="90"/>
            </w:tcMar>
            <w:vAlign w:val="center"/>
          </w:tcPr>
          <w:p>
            <w:pPr>
              <w:spacing w:after="20"/>
              <w:jc w:val="right"/>
            </w:pPr>
            <w:r>
              <w:rPr>
                <w:sz w:val="18"/>
                <w:szCs w:val="18"/>
              </w:rPr>
              <w:t xml:space="preserve">7.020 (84,9%)</w:t>
            </w:r>
          </w:p>
        </w:tc>
        <w:tc>
          <w:tcPr>
            <w:tcW w:type="dxa" w:w="3160"/>
            <w:tcMar>
              <w:top w:type="dxa" w:w="50"/>
              <w:left w:type="dxa" w:w="90"/>
              <w:bottom w:type="dxa" w:w="50"/>
              <w:right w:type="dxa" w:w="90"/>
            </w:tcMar>
            <w:vAlign w:val="center"/>
          </w:tcPr>
          <w:p>
            <w:pPr>
              <w:spacing w:after="20"/>
              <w:jc w:val="left"/>
            </w:pPr>
            <w:r>
              <w:rPr>
                <w:sz w:val="18"/>
                <w:szCs w:val="18"/>
              </w:rPr>
              <w:t xml:space="preserve">Solo cerdos (faltante por diseño)</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Precio huevo</w:t>
            </w:r>
          </w:p>
        </w:tc>
        <w:tc>
          <w:tcPr>
            <w:tcW w:type="dxa" w:w="2700"/>
            <w:tcMar>
              <w:top w:type="dxa" w:w="50"/>
              <w:left w:type="dxa" w:w="90"/>
              <w:bottom w:type="dxa" w:w="50"/>
              <w:right w:type="dxa" w:w="90"/>
            </w:tcMar>
            <w:vAlign w:val="center"/>
          </w:tcPr>
          <w:p>
            <w:pPr>
              <w:spacing w:after="20"/>
              <w:jc w:val="left"/>
            </w:pPr>
            <w:r>
              <w:rPr>
                <w:sz w:val="18"/>
                <w:szCs w:val="18"/>
              </w:rPr>
              <w:t xml:space="preserve">Numérica (COP)</w:t>
            </w:r>
          </w:p>
        </w:tc>
        <w:tc>
          <w:tcPr>
            <w:tcW w:type="dxa" w:w="1400"/>
            <w:tcMar>
              <w:top w:type="dxa" w:w="50"/>
              <w:left w:type="dxa" w:w="90"/>
              <w:bottom w:type="dxa" w:w="50"/>
              <w:right w:type="dxa" w:w="90"/>
            </w:tcMar>
            <w:vAlign w:val="center"/>
          </w:tcPr>
          <w:p>
            <w:pPr>
              <w:spacing w:after="20"/>
              <w:jc w:val="right"/>
            </w:pPr>
            <w:r>
              <w:rPr>
                <w:sz w:val="18"/>
                <w:szCs w:val="18"/>
              </w:rPr>
              <w:t xml:space="preserve">6.396 (77,4%)</w:t>
            </w:r>
          </w:p>
        </w:tc>
        <w:tc>
          <w:tcPr>
            <w:tcW w:type="dxa" w:w="3160"/>
            <w:tcMar>
              <w:top w:type="dxa" w:w="50"/>
              <w:left w:type="dxa" w:w="90"/>
              <w:bottom w:type="dxa" w:w="50"/>
              <w:right w:type="dxa" w:w="90"/>
            </w:tcMar>
            <w:vAlign w:val="center"/>
          </w:tcPr>
          <w:p>
            <w:pPr>
              <w:spacing w:after="20"/>
              <w:jc w:val="left"/>
            </w:pPr>
            <w:r>
              <w:rPr>
                <w:sz w:val="18"/>
                <w:szCs w:val="18"/>
              </w:rPr>
              <w:t xml:space="preserve">Solo aves (faltante por diseño)</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Precio Pollo</w:t>
            </w:r>
          </w:p>
        </w:tc>
        <w:tc>
          <w:tcPr>
            <w:tcW w:type="dxa" w:w="2700"/>
            <w:tcMar>
              <w:top w:type="dxa" w:w="50"/>
              <w:left w:type="dxa" w:w="90"/>
              <w:bottom w:type="dxa" w:w="50"/>
              <w:right w:type="dxa" w:w="90"/>
            </w:tcMar>
            <w:vAlign w:val="center"/>
          </w:tcPr>
          <w:p>
            <w:pPr>
              <w:spacing w:after="20"/>
              <w:jc w:val="left"/>
            </w:pPr>
            <w:r>
              <w:rPr>
                <w:sz w:val="18"/>
                <w:szCs w:val="18"/>
              </w:rPr>
              <w:t xml:space="preserve">Numérica (COP/kg)</w:t>
            </w:r>
          </w:p>
        </w:tc>
        <w:tc>
          <w:tcPr>
            <w:tcW w:type="dxa" w:w="1400"/>
            <w:tcMar>
              <w:top w:type="dxa" w:w="50"/>
              <w:left w:type="dxa" w:w="90"/>
              <w:bottom w:type="dxa" w:w="50"/>
              <w:right w:type="dxa" w:w="90"/>
            </w:tcMar>
            <w:vAlign w:val="center"/>
          </w:tcPr>
          <w:p>
            <w:pPr>
              <w:spacing w:after="20"/>
              <w:jc w:val="right"/>
            </w:pPr>
            <w:r>
              <w:rPr>
                <w:sz w:val="18"/>
                <w:szCs w:val="18"/>
              </w:rPr>
              <w:t xml:space="preserve">6.396 (77,4%)</w:t>
            </w:r>
          </w:p>
        </w:tc>
        <w:tc>
          <w:tcPr>
            <w:tcW w:type="dxa" w:w="3160"/>
            <w:tcMar>
              <w:top w:type="dxa" w:w="50"/>
              <w:left w:type="dxa" w:w="90"/>
              <w:bottom w:type="dxa" w:w="50"/>
              <w:right w:type="dxa" w:w="90"/>
            </w:tcMar>
            <w:vAlign w:val="center"/>
          </w:tcPr>
          <w:p>
            <w:pPr>
              <w:spacing w:after="20"/>
              <w:jc w:val="left"/>
            </w:pPr>
            <w:r>
              <w:rPr>
                <w:sz w:val="18"/>
                <w:szCs w:val="18"/>
              </w:rPr>
              <w:t xml:space="preserve">Solo aves (faltante por diseño)</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Perros</w:t>
            </w:r>
          </w:p>
        </w:tc>
        <w:tc>
          <w:tcPr>
            <w:tcW w:type="dxa" w:w="2700"/>
            <w:tcMar>
              <w:top w:type="dxa" w:w="50"/>
              <w:left w:type="dxa" w:w="90"/>
              <w:bottom w:type="dxa" w:w="50"/>
              <w:right w:type="dxa" w:w="90"/>
            </w:tcMar>
            <w:vAlign w:val="center"/>
          </w:tcPr>
          <w:p>
            <w:pPr>
              <w:spacing w:after="20"/>
              <w:jc w:val="left"/>
            </w:pPr>
            <w:r>
              <w:rPr>
                <w:sz w:val="18"/>
                <w:szCs w:val="18"/>
              </w:rPr>
              <w:t xml:space="preserve">Entera (texto con comas)</w:t>
            </w:r>
          </w:p>
        </w:tc>
        <w:tc>
          <w:tcPr>
            <w:tcW w:type="dxa" w:w="1400"/>
            <w:tcMar>
              <w:top w:type="dxa" w:w="50"/>
              <w:left w:type="dxa" w:w="90"/>
              <w:bottom w:type="dxa" w:w="50"/>
              <w:right w:type="dxa" w:w="90"/>
            </w:tcMar>
            <w:vAlign w:val="center"/>
          </w:tcPr>
          <w:p>
            <w:pPr>
              <w:spacing w:after="20"/>
              <w:jc w:val="right"/>
            </w:pPr>
            <w:r>
              <w:rPr>
                <w:sz w:val="18"/>
                <w:szCs w:val="18"/>
              </w:rPr>
              <w:t xml:space="preserve">5.772 (69,8%)</w:t>
            </w:r>
          </w:p>
        </w:tc>
        <w:tc>
          <w:tcPr>
            <w:tcW w:type="dxa" w:w="3160"/>
            <w:tcMar>
              <w:top w:type="dxa" w:w="50"/>
              <w:left w:type="dxa" w:w="90"/>
              <w:bottom w:type="dxa" w:w="50"/>
              <w:right w:type="dxa" w:w="90"/>
            </w:tcMar>
            <w:vAlign w:val="center"/>
          </w:tcPr>
          <w:p>
            <w:pPr>
              <w:spacing w:after="20"/>
              <w:jc w:val="left"/>
            </w:pPr>
            <w:r>
              <w:rPr>
                <w:sz w:val="18"/>
                <w:szCs w:val="18"/>
              </w:rPr>
              <w:t xml:space="preserve">Solo animales de compañía (por diseño); no se usa en el modelo</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Gatos</w:t>
            </w:r>
          </w:p>
        </w:tc>
        <w:tc>
          <w:tcPr>
            <w:tcW w:type="dxa" w:w="2700"/>
            <w:tcMar>
              <w:top w:type="dxa" w:w="50"/>
              <w:left w:type="dxa" w:w="90"/>
              <w:bottom w:type="dxa" w:w="50"/>
              <w:right w:type="dxa" w:w="90"/>
            </w:tcMar>
            <w:vAlign w:val="center"/>
          </w:tcPr>
          <w:p>
            <w:pPr>
              <w:spacing w:after="20"/>
              <w:jc w:val="left"/>
            </w:pPr>
            <w:r>
              <w:rPr>
                <w:sz w:val="18"/>
                <w:szCs w:val="18"/>
              </w:rPr>
              <w:t xml:space="preserve">Entera (texto con comas)</w:t>
            </w:r>
          </w:p>
        </w:tc>
        <w:tc>
          <w:tcPr>
            <w:tcW w:type="dxa" w:w="1400"/>
            <w:tcMar>
              <w:top w:type="dxa" w:w="50"/>
              <w:left w:type="dxa" w:w="90"/>
              <w:bottom w:type="dxa" w:w="50"/>
              <w:right w:type="dxa" w:w="90"/>
            </w:tcMar>
            <w:vAlign w:val="center"/>
          </w:tcPr>
          <w:p>
            <w:pPr>
              <w:spacing w:after="20"/>
              <w:jc w:val="right"/>
            </w:pPr>
            <w:r>
              <w:rPr>
                <w:sz w:val="18"/>
                <w:szCs w:val="18"/>
              </w:rPr>
              <w:t xml:space="preserve">5.772 (69,8%)</w:t>
            </w:r>
          </w:p>
        </w:tc>
        <w:tc>
          <w:tcPr>
            <w:tcW w:type="dxa" w:w="3160"/>
            <w:tcMar>
              <w:top w:type="dxa" w:w="50"/>
              <w:left w:type="dxa" w:w="90"/>
              <w:bottom w:type="dxa" w:w="50"/>
              <w:right w:type="dxa" w:w="90"/>
            </w:tcMar>
            <w:vAlign w:val="center"/>
          </w:tcPr>
          <w:p>
            <w:pPr>
              <w:spacing w:after="20"/>
              <w:jc w:val="left"/>
            </w:pPr>
            <w:r>
              <w:rPr>
                <w:sz w:val="18"/>
                <w:szCs w:val="18"/>
              </w:rPr>
              <w:t xml:space="preserve">Solo animales de compañía (por diseño); no se usa en el modelo</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IPC</w:t>
            </w:r>
          </w:p>
        </w:tc>
        <w:tc>
          <w:tcPr>
            <w:tcW w:type="dxa" w:w="2700"/>
            <w:tcMar>
              <w:top w:type="dxa" w:w="50"/>
              <w:left w:type="dxa" w:w="90"/>
              <w:bottom w:type="dxa" w:w="50"/>
              <w:right w:type="dxa" w:w="90"/>
            </w:tcMar>
            <w:vAlign w:val="center"/>
          </w:tcPr>
          <w:p>
            <w:pPr>
              <w:spacing w:after="20"/>
              <w:jc w:val="left"/>
            </w:pPr>
            <w:r>
              <w:rPr>
                <w:sz w:val="18"/>
                <w:szCs w:val="18"/>
              </w:rPr>
              <w:t xml:space="preserve">Numérica (índice)</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160"/>
            <w:tcMar>
              <w:top w:type="dxa" w:w="50"/>
              <w:left w:type="dxa" w:w="90"/>
              <w:bottom w:type="dxa" w:w="50"/>
              <w:right w:type="dxa" w:w="90"/>
            </w:tcMar>
            <w:vAlign w:val="center"/>
          </w:tcPr>
          <w:p>
            <w:pPr>
              <w:spacing w:after="20"/>
              <w:jc w:val="left"/>
            </w:pP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Inflación Mensual</w:t>
            </w:r>
          </w:p>
        </w:tc>
        <w:tc>
          <w:tcPr>
            <w:tcW w:type="dxa" w:w="2700"/>
            <w:tcMar>
              <w:top w:type="dxa" w:w="50"/>
              <w:left w:type="dxa" w:w="90"/>
              <w:bottom w:type="dxa" w:w="50"/>
              <w:right w:type="dxa" w:w="90"/>
            </w:tcMar>
            <w:vAlign w:val="center"/>
          </w:tcPr>
          <w:p>
            <w:pPr>
              <w:spacing w:after="20"/>
              <w:jc w:val="left"/>
            </w:pPr>
            <w:r>
              <w:rPr>
                <w:sz w:val="18"/>
                <w:szCs w:val="18"/>
              </w:rPr>
              <w:t xml:space="preserve">Numérica (fracción)</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160"/>
            <w:tcMar>
              <w:top w:type="dxa" w:w="50"/>
              <w:left w:type="dxa" w:w="90"/>
              <w:bottom w:type="dxa" w:w="50"/>
              <w:right w:type="dxa" w:w="90"/>
            </w:tcMar>
            <w:vAlign w:val="center"/>
          </w:tcPr>
          <w:p>
            <w:pPr>
              <w:spacing w:after="20"/>
              <w:jc w:val="left"/>
            </w:pP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PIB</w:t>
            </w:r>
          </w:p>
        </w:tc>
        <w:tc>
          <w:tcPr>
            <w:tcW w:type="dxa" w:w="2700"/>
            <w:tcMar>
              <w:top w:type="dxa" w:w="50"/>
              <w:left w:type="dxa" w:w="90"/>
              <w:bottom w:type="dxa" w:w="50"/>
              <w:right w:type="dxa" w:w="90"/>
            </w:tcMar>
            <w:vAlign w:val="center"/>
          </w:tcPr>
          <w:p>
            <w:pPr>
              <w:spacing w:after="20"/>
              <w:jc w:val="left"/>
            </w:pPr>
            <w:r>
              <w:rPr>
                <w:sz w:val="18"/>
                <w:szCs w:val="18"/>
              </w:rPr>
              <w:t xml:space="preserve">Numérica (% anual)</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160"/>
            <w:tcMar>
              <w:top w:type="dxa" w:w="50"/>
              <w:left w:type="dxa" w:w="90"/>
              <w:bottom w:type="dxa" w:w="50"/>
              <w:right w:type="dxa" w:w="90"/>
            </w:tcMar>
            <w:vAlign w:val="center"/>
          </w:tcPr>
          <w:p>
            <w:pPr>
              <w:spacing w:after="20"/>
              <w:jc w:val="left"/>
            </w:pPr>
            <w:r>
              <w:rPr>
                <w:sz w:val="18"/>
                <w:szCs w:val="18"/>
              </w:rPr>
              <w:t xml:space="preserve">Un valor por año</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PIB Agro</w:t>
            </w:r>
          </w:p>
        </w:tc>
        <w:tc>
          <w:tcPr>
            <w:tcW w:type="dxa" w:w="2700"/>
            <w:tcMar>
              <w:top w:type="dxa" w:w="50"/>
              <w:left w:type="dxa" w:w="90"/>
              <w:bottom w:type="dxa" w:w="50"/>
              <w:right w:type="dxa" w:w="90"/>
            </w:tcMar>
            <w:vAlign w:val="center"/>
          </w:tcPr>
          <w:p>
            <w:pPr>
              <w:spacing w:after="20"/>
              <w:jc w:val="left"/>
            </w:pPr>
            <w:r>
              <w:rPr>
                <w:sz w:val="18"/>
                <w:szCs w:val="18"/>
              </w:rPr>
              <w:t xml:space="preserve">Numérica (% anual)</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160"/>
            <w:tcMar>
              <w:top w:type="dxa" w:w="50"/>
              <w:left w:type="dxa" w:w="90"/>
              <w:bottom w:type="dxa" w:w="50"/>
              <w:right w:type="dxa" w:w="90"/>
            </w:tcMar>
            <w:vAlign w:val="center"/>
          </w:tcPr>
          <w:p>
            <w:pPr>
              <w:spacing w:after="20"/>
              <w:jc w:val="left"/>
            </w:pPr>
            <w:r>
              <w:rPr>
                <w:sz w:val="18"/>
                <w:szCs w:val="18"/>
              </w:rPr>
              <w:t xml:space="preserve">Un valor por año</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Porc Crec SMMLV</w:t>
            </w:r>
          </w:p>
        </w:tc>
        <w:tc>
          <w:tcPr>
            <w:tcW w:type="dxa" w:w="2700"/>
            <w:tcMar>
              <w:top w:type="dxa" w:w="50"/>
              <w:left w:type="dxa" w:w="90"/>
              <w:bottom w:type="dxa" w:w="50"/>
              <w:right w:type="dxa" w:w="90"/>
            </w:tcMar>
            <w:vAlign w:val="center"/>
          </w:tcPr>
          <w:p>
            <w:pPr>
              <w:spacing w:after="20"/>
              <w:jc w:val="left"/>
            </w:pPr>
            <w:r>
              <w:rPr>
                <w:sz w:val="18"/>
                <w:szCs w:val="18"/>
              </w:rPr>
              <w:t xml:space="preserve">Numérica (fracción)</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160"/>
            <w:tcMar>
              <w:top w:type="dxa" w:w="50"/>
              <w:left w:type="dxa" w:w="90"/>
              <w:bottom w:type="dxa" w:w="50"/>
              <w:right w:type="dxa" w:w="90"/>
            </w:tcMar>
            <w:vAlign w:val="center"/>
          </w:tcPr>
          <w:p>
            <w:pPr>
              <w:spacing w:after="20"/>
              <w:jc w:val="left"/>
            </w:pPr>
            <w:r>
              <w:rPr>
                <w:sz w:val="18"/>
                <w:szCs w:val="18"/>
              </w:rPr>
              <w:t xml:space="preserve">Un valor por año</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Venta Laboratorio</w:t>
            </w:r>
          </w:p>
        </w:tc>
        <w:tc>
          <w:tcPr>
            <w:tcW w:type="dxa" w:w="2700"/>
            <w:tcMar>
              <w:top w:type="dxa" w:w="50"/>
              <w:left w:type="dxa" w:w="90"/>
              <w:bottom w:type="dxa" w:w="50"/>
              <w:right w:type="dxa" w:w="90"/>
            </w:tcMar>
            <w:vAlign w:val="center"/>
          </w:tcPr>
          <w:p>
            <w:pPr>
              <w:spacing w:after="20"/>
              <w:jc w:val="left"/>
            </w:pPr>
            <w:r>
              <w:rPr>
                <w:sz w:val="18"/>
                <w:szCs w:val="18"/>
              </w:rPr>
              <w:t xml:space="preserve">Numérica (COP; con comas)</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160"/>
            <w:tcMar>
              <w:top w:type="dxa" w:w="50"/>
              <w:left w:type="dxa" w:w="90"/>
              <w:bottom w:type="dxa" w:w="50"/>
              <w:right w:type="dxa" w:w="90"/>
            </w:tcMar>
            <w:vAlign w:val="center"/>
          </w:tcPr>
          <w:p>
            <w:pPr>
              <w:spacing w:after="20"/>
              <w:jc w:val="left"/>
            </w:pPr>
            <w:r>
              <w:rPr>
                <w:sz w:val="18"/>
                <w:szCs w:val="18"/>
              </w:rPr>
              <w:t xml:space="preserve">Cero antes de 2022; incluye devoluciones negativas</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Share Laboratorio</w:t>
            </w:r>
          </w:p>
        </w:tc>
        <w:tc>
          <w:tcPr>
            <w:tcW w:type="dxa" w:w="2700"/>
            <w:tcMar>
              <w:top w:type="dxa" w:w="50"/>
              <w:left w:type="dxa" w:w="90"/>
              <w:bottom w:type="dxa" w:w="50"/>
              <w:right w:type="dxa" w:w="90"/>
            </w:tcMar>
            <w:vAlign w:val="center"/>
          </w:tcPr>
          <w:p>
            <w:pPr>
              <w:spacing w:after="20"/>
              <w:jc w:val="left"/>
            </w:pPr>
            <w:r>
              <w:rPr>
                <w:sz w:val="18"/>
                <w:szCs w:val="18"/>
              </w:rPr>
              <w:t xml:space="preserve">Numérica (fracción)</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160"/>
            <w:tcMar>
              <w:top w:type="dxa" w:w="50"/>
              <w:left w:type="dxa" w:w="90"/>
              <w:bottom w:type="dxa" w:w="50"/>
              <w:right w:type="dxa" w:w="90"/>
            </w:tcMar>
            <w:vAlign w:val="center"/>
          </w:tcPr>
          <w:p>
            <w:pPr>
              <w:spacing w:after="20"/>
              <w:jc w:val="left"/>
            </w:pPr>
            <w:r>
              <w:rPr>
                <w:sz w:val="18"/>
                <w:szCs w:val="18"/>
              </w:rPr>
              <w:t xml:space="preserve">Puede superar 1 (ver Tabla 2)</w:t>
            </w:r>
          </w:p>
        </w:tc>
      </w:tr>
      <w:tr>
        <w:trPr>
          <w:cantSplit/>
        </w:trPr>
        <w:tc>
          <w:tcPr>
            <w:tcW w:type="dxa" w:w="2100"/>
            <w:tcMar>
              <w:top w:type="dxa" w:w="50"/>
              <w:left w:type="dxa" w:w="90"/>
              <w:bottom w:type="dxa" w:w="50"/>
              <w:right w:type="dxa" w:w="90"/>
            </w:tcMar>
            <w:vAlign w:val="center"/>
          </w:tcPr>
          <w:p>
            <w:pPr>
              <w:spacing w:after="20"/>
              <w:jc w:val="left"/>
            </w:pPr>
            <w:r>
              <w:rPr>
                <w:sz w:val="18"/>
                <w:szCs w:val="18"/>
              </w:rPr>
              <w:t xml:space="preserve">Crec Laboratorio año</w:t>
            </w:r>
          </w:p>
        </w:tc>
        <w:tc>
          <w:tcPr>
            <w:tcW w:type="dxa" w:w="2700"/>
            <w:tcMar>
              <w:top w:type="dxa" w:w="50"/>
              <w:left w:type="dxa" w:w="90"/>
              <w:bottom w:type="dxa" w:w="50"/>
              <w:right w:type="dxa" w:w="90"/>
            </w:tcMar>
            <w:vAlign w:val="center"/>
          </w:tcPr>
          <w:p>
            <w:pPr>
              <w:spacing w:after="20"/>
              <w:jc w:val="left"/>
            </w:pPr>
            <w:r>
              <w:rPr>
                <w:sz w:val="18"/>
                <w:szCs w:val="18"/>
              </w:rPr>
              <w:t xml:space="preserve">Porcentaje (texto con %)</w:t>
            </w:r>
          </w:p>
        </w:tc>
        <w:tc>
          <w:tcPr>
            <w:tcW w:type="dxa" w:w="1400"/>
            <w:tcMar>
              <w:top w:type="dxa" w:w="50"/>
              <w:left w:type="dxa" w:w="90"/>
              <w:bottom w:type="dxa" w:w="50"/>
              <w:right w:type="dxa" w:w="90"/>
            </w:tcMar>
            <w:vAlign w:val="center"/>
          </w:tcPr>
          <w:p>
            <w:pPr>
              <w:spacing w:after="20"/>
              <w:jc w:val="right"/>
            </w:pPr>
            <w:r>
              <w:rPr>
                <w:sz w:val="18"/>
                <w:szCs w:val="18"/>
              </w:rPr>
              <w:t xml:space="preserve">6.618 (80,0%)</w:t>
            </w:r>
          </w:p>
        </w:tc>
        <w:tc>
          <w:tcPr>
            <w:tcW w:type="dxa" w:w="3160"/>
            <w:tcMar>
              <w:top w:type="dxa" w:w="50"/>
              <w:left w:type="dxa" w:w="90"/>
              <w:bottom w:type="dxa" w:w="50"/>
              <w:right w:type="dxa" w:w="90"/>
            </w:tcMar>
            <w:vAlign w:val="center"/>
          </w:tcPr>
          <w:p>
            <w:pPr>
              <w:spacing w:after="20"/>
              <w:jc w:val="left"/>
            </w:pPr>
            <w:r>
              <w:rPr>
                <w:sz w:val="18"/>
                <w:szCs w:val="18"/>
              </w:rPr>
              <w:t xml:space="preserve">Vacío antes de que existan 12 meses de venta</w:t>
            </w:r>
          </w:p>
        </w:tc>
      </w:tr>
    </w:tbl>
    <w:p>
      <w:pPr>
        <w:spacing w:after="200" w:before="60"/>
      </w:pPr>
      <w:r>
        <w:rPr>
          <w:i/>
          <w:iCs/>
          <w:color w:val="5E6E69"/>
          <w:sz w:val="18"/>
          <w:szCs w:val="18"/>
        </w:rPr>
        <w:t xml:space="preserve">Los faltantes de precios y de población son estructurales: cada precio solo aplica a una especie. No son datos perdidos y no se imputaron.</w:t>
      </w:r>
    </w:p>
    <w:p>
      <w:pPr>
        <w:pStyle w:val="Heading2"/>
      </w:pPr>
      <w:r>
        <w:t xml:space="preserve">2.2 Diagnóstico de calidad</w:t>
      </w:r>
    </w:p>
    <w:p>
      <w:pPr>
        <w:spacing w:after="120" w:line="276"/>
      </w:pPr>
      <w:r>
        <w:t xml:space="preserve">Los hallazgos se ordenan por su efecto sobre la validez del modelo. P1 limita la conclusión; P2 exige un tratamiento explícito; P3 es de orden técnico.</w:t>
      </w:r>
    </w:p>
    <w:p>
      <w:pPr>
        <w:keepNext/>
        <w:spacing w:after="60" w:before="160"/>
      </w:pPr>
      <w:r>
        <w:rPr>
          <w:b/>
          <w:bCs/>
          <w:color w:val="13201C"/>
          <w:sz w:val="19"/>
          <w:szCs w:val="19"/>
        </w:rPr>
        <w:t xml:space="preserve">Tabla 2. Hallazgos de calidad priorizados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1000"/>
        <w:gridCol w:w="1800"/>
        <w:gridCol w:w="3500"/>
        <w:gridCol w:w="3060"/>
      </w:tblGrid>
      <w:tr>
        <w:trPr>
          <w:cantSplit/>
          <w:tblHeader/>
        </w:trPr>
        <w:tc>
          <w:tcPr>
            <w:tcW w:type="dxa" w:w="1000"/>
            <w:shd w:fill="E4EEEB" w:color="auto" w:val="clear"/>
            <w:tcMar>
              <w:top w:type="dxa" w:w="50"/>
              <w:left w:type="dxa" w:w="90"/>
              <w:bottom w:type="dxa" w:w="50"/>
              <w:right w:type="dxa" w:w="90"/>
            </w:tcMar>
            <w:vAlign w:val="center"/>
          </w:tcPr>
          <w:p>
            <w:pPr>
              <w:spacing w:after="20"/>
              <w:jc w:val="left"/>
            </w:pPr>
            <w:r>
              <w:rPr>
                <w:b/>
                <w:bCs/>
                <w:sz w:val="18"/>
                <w:szCs w:val="18"/>
              </w:rPr>
              <w:t xml:space="preserve">Prioridad</w:t>
            </w:r>
          </w:p>
        </w:tc>
        <w:tc>
          <w:tcPr>
            <w:tcW w:type="dxa" w:w="1800"/>
            <w:shd w:fill="E4EEEB" w:color="auto" w:val="clear"/>
            <w:tcMar>
              <w:top w:type="dxa" w:w="50"/>
              <w:left w:type="dxa" w:w="90"/>
              <w:bottom w:type="dxa" w:w="50"/>
              <w:right w:type="dxa" w:w="90"/>
            </w:tcMar>
            <w:vAlign w:val="center"/>
          </w:tcPr>
          <w:p>
            <w:pPr>
              <w:spacing w:after="20"/>
              <w:jc w:val="left"/>
            </w:pPr>
            <w:r>
              <w:rPr>
                <w:b/>
                <w:bCs/>
                <w:sz w:val="18"/>
                <w:szCs w:val="18"/>
              </w:rPr>
              <w:t xml:space="preserve">Hallazgo</w:t>
            </w:r>
          </w:p>
        </w:tc>
        <w:tc>
          <w:tcPr>
            <w:tcW w:type="dxa" w:w="3500"/>
            <w:shd w:fill="E4EEEB" w:color="auto" w:val="clear"/>
            <w:tcMar>
              <w:top w:type="dxa" w:w="50"/>
              <w:left w:type="dxa" w:w="90"/>
              <w:bottom w:type="dxa" w:w="50"/>
              <w:right w:type="dxa" w:w="90"/>
            </w:tcMar>
            <w:vAlign w:val="center"/>
          </w:tcPr>
          <w:p>
            <w:pPr>
              <w:spacing w:after="20"/>
              <w:jc w:val="left"/>
            </w:pPr>
            <w:r>
              <w:rPr>
                <w:b/>
                <w:bCs/>
                <w:sz w:val="18"/>
                <w:szCs w:val="18"/>
              </w:rPr>
              <w:t xml:space="preserve">Evidencia</w:t>
            </w:r>
          </w:p>
        </w:tc>
        <w:tc>
          <w:tcPr>
            <w:tcW w:type="dxa" w:w="3060"/>
            <w:shd w:fill="E4EEEB" w:color="auto" w:val="clear"/>
            <w:tcMar>
              <w:top w:type="dxa" w:w="50"/>
              <w:left w:type="dxa" w:w="90"/>
              <w:bottom w:type="dxa" w:w="50"/>
              <w:right w:type="dxa" w:w="90"/>
            </w:tcMar>
            <w:vAlign w:val="center"/>
          </w:tcPr>
          <w:p>
            <w:pPr>
              <w:spacing w:after="20"/>
              <w:jc w:val="left"/>
            </w:pPr>
            <w:r>
              <w:rPr>
                <w:b/>
                <w:bCs/>
                <w:sz w:val="18"/>
                <w:szCs w:val="18"/>
              </w:rPr>
              <w:t xml:space="preserve">Tratamiento</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P1</w:t>
            </w:r>
          </w:p>
        </w:tc>
        <w:tc>
          <w:tcPr>
            <w:tcW w:type="dxa" w:w="1800"/>
            <w:tcMar>
              <w:top w:type="dxa" w:w="50"/>
              <w:left w:type="dxa" w:w="90"/>
              <w:bottom w:type="dxa" w:w="50"/>
              <w:right w:type="dxa" w:w="90"/>
            </w:tcMar>
            <w:vAlign w:val="center"/>
          </w:tcPr>
          <w:p>
            <w:pPr>
              <w:spacing w:after="20"/>
              <w:jc w:val="left"/>
            </w:pPr>
            <w:r>
              <w:rPr>
                <w:sz w:val="18"/>
                <w:szCs w:val="18"/>
              </w:rPr>
              <w:t xml:space="preserve">Historia corta</w:t>
            </w:r>
          </w:p>
        </w:tc>
        <w:tc>
          <w:tcPr>
            <w:tcW w:type="dxa" w:w="3500"/>
            <w:tcMar>
              <w:top w:type="dxa" w:w="50"/>
              <w:left w:type="dxa" w:w="90"/>
              <w:bottom w:type="dxa" w:w="50"/>
              <w:right w:type="dxa" w:w="90"/>
            </w:tcMar>
            <w:vAlign w:val="center"/>
          </w:tcPr>
          <w:p>
            <w:pPr>
              <w:spacing w:after="20"/>
              <w:jc w:val="left"/>
            </w:pPr>
            <w:r>
              <w:rPr>
                <w:sz w:val="18"/>
                <w:szCs w:val="18"/>
              </w:rPr>
              <w:t xml:space="preserve">Mercado: 78 meses (cinco años completos y seis meses de 2026). Variables macro: un valor por año (7 valores distintos de PIB, PIB agro y salario mínimo).</w:t>
            </w:r>
          </w:p>
        </w:tc>
        <w:tc>
          <w:tcPr>
            <w:tcW w:type="dxa" w:w="3060"/>
            <w:tcMar>
              <w:top w:type="dxa" w:w="50"/>
              <w:left w:type="dxa" w:w="90"/>
              <w:bottom w:type="dxa" w:w="50"/>
              <w:right w:type="dxa" w:w="90"/>
            </w:tcMar>
            <w:vAlign w:val="center"/>
          </w:tcPr>
          <w:p>
            <w:pPr>
              <w:spacing w:after="20"/>
              <w:jc w:val="left"/>
            </w:pPr>
            <w:r>
              <w:rPr>
                <w:sz w:val="18"/>
                <w:szCs w:val="18"/>
              </w:rPr>
              <w:t xml:space="preserve">Modelo muy regularizado; validación con bloques temporales; límites explícitos en la Sección 6.</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P1</w:t>
            </w:r>
          </w:p>
        </w:tc>
        <w:tc>
          <w:tcPr>
            <w:tcW w:type="dxa" w:w="1800"/>
            <w:tcMar>
              <w:top w:type="dxa" w:w="50"/>
              <w:left w:type="dxa" w:w="90"/>
              <w:bottom w:type="dxa" w:w="50"/>
              <w:right w:type="dxa" w:w="90"/>
            </w:tcMar>
            <w:vAlign w:val="center"/>
          </w:tcPr>
          <w:p>
            <w:pPr>
              <w:spacing w:after="20"/>
              <w:jc w:val="left"/>
            </w:pPr>
            <w:r>
              <w:rPr>
                <w:sz w:val="18"/>
                <w:szCs w:val="18"/>
              </w:rPr>
              <w:t xml:space="preserve">Ventas del Laboratorio desde 2022</w:t>
            </w:r>
          </w:p>
        </w:tc>
        <w:tc>
          <w:tcPr>
            <w:tcW w:type="dxa" w:w="3500"/>
            <w:tcMar>
              <w:top w:type="dxa" w:w="50"/>
              <w:left w:type="dxa" w:w="90"/>
              <w:bottom w:type="dxa" w:w="50"/>
              <w:right w:type="dxa" w:w="90"/>
            </w:tcMar>
            <w:vAlign w:val="center"/>
          </w:tcPr>
          <w:p>
            <w:pPr>
              <w:spacing w:after="20"/>
              <w:jc w:val="left"/>
            </w:pPr>
            <w:r>
              <w:rPr>
                <w:sz w:val="18"/>
                <w:szCs w:val="18"/>
              </w:rPr>
              <w:t xml:space="preserve">Cero en 2020; solo 34 registros con venta en 2021; 402 en 2022. Primer crecimiento de 12 meses disponible: diciembre de 2023.</w:t>
            </w:r>
          </w:p>
        </w:tc>
        <w:tc>
          <w:tcPr>
            <w:tcW w:type="dxa" w:w="3060"/>
            <w:tcMar>
              <w:top w:type="dxa" w:w="50"/>
              <w:left w:type="dxa" w:w="90"/>
              <w:bottom w:type="dxa" w:w="50"/>
              <w:right w:type="dxa" w:w="90"/>
            </w:tcMar>
            <w:vAlign w:val="center"/>
          </w:tcPr>
          <w:p>
            <w:pPr>
              <w:spacing w:after="20"/>
              <w:jc w:val="left"/>
            </w:pPr>
            <w:r>
              <w:rPr>
                <w:sz w:val="18"/>
                <w:szCs w:val="18"/>
              </w:rPr>
              <w:t xml:space="preserve">El modelo del laboratorio se entrena con 25 meses por especie (100 filas); CV con embargo reducido.</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P1</w:t>
            </w:r>
          </w:p>
        </w:tc>
        <w:tc>
          <w:tcPr>
            <w:tcW w:type="dxa" w:w="1800"/>
            <w:tcMar>
              <w:top w:type="dxa" w:w="50"/>
              <w:left w:type="dxa" w:w="90"/>
              <w:bottom w:type="dxa" w:w="50"/>
              <w:right w:type="dxa" w:w="90"/>
            </w:tcMar>
            <w:vAlign w:val="center"/>
          </w:tcPr>
          <w:p>
            <w:pPr>
              <w:spacing w:after="20"/>
              <w:jc w:val="left"/>
            </w:pPr>
            <w:r>
              <w:rPr>
                <w:sz w:val="18"/>
                <w:szCs w:val="18"/>
              </w:rPr>
              <w:t xml:space="preserve">Venta del Laboratorio mayor que el mercado</w:t>
            </w:r>
          </w:p>
        </w:tc>
        <w:tc>
          <w:tcPr>
            <w:tcW w:type="dxa" w:w="3500"/>
            <w:tcMar>
              <w:top w:type="dxa" w:w="50"/>
              <w:left w:type="dxa" w:w="90"/>
              <w:bottom w:type="dxa" w:w="50"/>
              <w:right w:type="dxa" w:w="90"/>
            </w:tcMar>
            <w:vAlign w:val="center"/>
          </w:tcPr>
          <w:p>
            <w:pPr>
              <w:spacing w:after="20"/>
              <w:jc w:val="left"/>
            </w:pPr>
            <w:r>
              <w:rPr>
                <w:sz w:val="18"/>
                <w:szCs w:val="18"/>
              </w:rPr>
              <w:t xml:space="preserve">77 filas con venta mayor que el mercado y 66 con participación mayor a 1 (hasta 96 veces), casi todas en cerdos (macrólidos, 2021 a 2023).</w:t>
            </w:r>
          </w:p>
        </w:tc>
        <w:tc>
          <w:tcPr>
            <w:tcW w:type="dxa" w:w="3060"/>
            <w:tcMar>
              <w:top w:type="dxa" w:w="50"/>
              <w:left w:type="dxa" w:w="90"/>
              <w:bottom w:type="dxa" w:w="50"/>
              <w:right w:type="dxa" w:w="90"/>
            </w:tcMar>
            <w:vAlign w:val="center"/>
          </w:tcPr>
          <w:p>
            <w:pPr>
              <w:spacing w:after="20"/>
              <w:jc w:val="left"/>
            </w:pPr>
            <w:r>
              <w:rPr>
                <w:sz w:val="18"/>
                <w:szCs w:val="18"/>
              </w:rPr>
              <w:t xml:space="preserve">Se conservan: el equipo confirmó que el Laboratorio lidera el mercado de cerdos. Posible cobertura incompleta del mercado en ese subgrupo.</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P2</w:t>
            </w:r>
          </w:p>
        </w:tc>
        <w:tc>
          <w:tcPr>
            <w:tcW w:type="dxa" w:w="1800"/>
            <w:tcMar>
              <w:top w:type="dxa" w:w="50"/>
              <w:left w:type="dxa" w:w="90"/>
              <w:bottom w:type="dxa" w:w="50"/>
              <w:right w:type="dxa" w:w="90"/>
            </w:tcMar>
            <w:vAlign w:val="center"/>
          </w:tcPr>
          <w:p>
            <w:pPr>
              <w:spacing w:after="20"/>
              <w:jc w:val="left"/>
            </w:pPr>
            <w:r>
              <w:rPr>
                <w:sz w:val="18"/>
                <w:szCs w:val="18"/>
              </w:rPr>
              <w:t xml:space="preserve">2026 incompleto</w:t>
            </w:r>
          </w:p>
        </w:tc>
        <w:tc>
          <w:tcPr>
            <w:tcW w:type="dxa" w:w="3500"/>
            <w:tcMar>
              <w:top w:type="dxa" w:w="50"/>
              <w:left w:type="dxa" w:w="90"/>
              <w:bottom w:type="dxa" w:w="50"/>
              <w:right w:type="dxa" w:w="90"/>
            </w:tcMar>
            <w:vAlign w:val="center"/>
          </w:tcPr>
          <w:p>
            <w:pPr>
              <w:spacing w:after="20"/>
              <w:jc w:val="left"/>
            </w:pPr>
            <w:r>
              <w:rPr>
                <w:sz w:val="18"/>
                <w:szCs w:val="18"/>
              </w:rPr>
              <w:t xml:space="preserve">Datos hasta junio de 2026.</w:t>
            </w:r>
          </w:p>
        </w:tc>
        <w:tc>
          <w:tcPr>
            <w:tcW w:type="dxa" w:w="3060"/>
            <w:tcMar>
              <w:top w:type="dxa" w:w="50"/>
              <w:left w:type="dxa" w:w="90"/>
              <w:bottom w:type="dxa" w:w="50"/>
              <w:right w:type="dxa" w:w="90"/>
            </w:tcMar>
            <w:vAlign w:val="center"/>
          </w:tcPr>
          <w:p>
            <w:pPr>
              <w:spacing w:after="20"/>
              <w:jc w:val="left"/>
            </w:pPr>
            <w:r>
              <w:rPr>
                <w:sz w:val="18"/>
                <w:szCs w:val="18"/>
              </w:rPr>
              <w:t xml:space="preserve">Julio a diciembre se completa con un promedio de tres métodos estacionales (error de 1% a 5% en el total del segundo semestre en el mercado y hasta 20% en el laboratorio). No entra al entrenamiento ni a la prueba.</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P2</w:t>
            </w:r>
          </w:p>
        </w:tc>
        <w:tc>
          <w:tcPr>
            <w:tcW w:type="dxa" w:w="1800"/>
            <w:tcMar>
              <w:top w:type="dxa" w:w="50"/>
              <w:left w:type="dxa" w:w="90"/>
              <w:bottom w:type="dxa" w:w="50"/>
              <w:right w:type="dxa" w:w="90"/>
            </w:tcMar>
            <w:vAlign w:val="center"/>
          </w:tcPr>
          <w:p>
            <w:pPr>
              <w:spacing w:after="20"/>
              <w:jc w:val="left"/>
            </w:pPr>
            <w:r>
              <w:rPr>
                <w:sz w:val="18"/>
                <w:szCs w:val="18"/>
              </w:rPr>
              <w:t xml:space="preserve">Meses con mercado en cero</w:t>
            </w:r>
          </w:p>
        </w:tc>
        <w:tc>
          <w:tcPr>
            <w:tcW w:type="dxa" w:w="3500"/>
            <w:tcMar>
              <w:top w:type="dxa" w:w="50"/>
              <w:left w:type="dxa" w:w="90"/>
              <w:bottom w:type="dxa" w:w="50"/>
              <w:right w:type="dxa" w:w="90"/>
            </w:tcMar>
            <w:vAlign w:val="center"/>
          </w:tcPr>
          <w:p>
            <w:pPr>
              <w:spacing w:after="20"/>
              <w:jc w:val="left"/>
            </w:pPr>
            <w:r>
              <w:rPr>
                <w:sz w:val="18"/>
                <w:szCs w:val="18"/>
              </w:rPr>
              <w:t xml:space="preserve">429 filas (5,2%).</w:t>
            </w:r>
          </w:p>
        </w:tc>
        <w:tc>
          <w:tcPr>
            <w:tcW w:type="dxa" w:w="3060"/>
            <w:tcMar>
              <w:top w:type="dxa" w:w="50"/>
              <w:left w:type="dxa" w:w="90"/>
              <w:bottom w:type="dxa" w:w="50"/>
              <w:right w:type="dxa" w:w="90"/>
            </w:tcMar>
            <w:vAlign w:val="center"/>
          </w:tcPr>
          <w:p>
            <w:pPr>
              <w:spacing w:after="20"/>
              <w:jc w:val="left"/>
            </w:pPr>
            <w:r>
              <w:rPr>
                <w:sz w:val="18"/>
                <w:szCs w:val="18"/>
              </w:rPr>
              <w:t xml:space="preserve">Se conservan; se agregan a nivel de especie.</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P2</w:t>
            </w:r>
          </w:p>
        </w:tc>
        <w:tc>
          <w:tcPr>
            <w:tcW w:type="dxa" w:w="1800"/>
            <w:tcMar>
              <w:top w:type="dxa" w:w="50"/>
              <w:left w:type="dxa" w:w="90"/>
              <w:bottom w:type="dxa" w:w="50"/>
              <w:right w:type="dxa" w:w="90"/>
            </w:tcMar>
            <w:vAlign w:val="center"/>
          </w:tcPr>
          <w:p>
            <w:pPr>
              <w:spacing w:after="20"/>
              <w:jc w:val="left"/>
            </w:pPr>
            <w:r>
              <w:rPr>
                <w:sz w:val="18"/>
                <w:szCs w:val="18"/>
              </w:rPr>
              <w:t xml:space="preserve">Ventas negativas del Laboratorio</w:t>
            </w:r>
          </w:p>
        </w:tc>
        <w:tc>
          <w:tcPr>
            <w:tcW w:type="dxa" w:w="3500"/>
            <w:tcMar>
              <w:top w:type="dxa" w:w="50"/>
              <w:left w:type="dxa" w:w="90"/>
              <w:bottom w:type="dxa" w:w="50"/>
              <w:right w:type="dxa" w:w="90"/>
            </w:tcMar>
            <w:vAlign w:val="center"/>
          </w:tcPr>
          <w:p>
            <w:pPr>
              <w:spacing w:after="20"/>
              <w:jc w:val="left"/>
            </w:pPr>
            <w:r>
              <w:rPr>
                <w:sz w:val="18"/>
                <w:szCs w:val="18"/>
              </w:rPr>
              <w:t xml:space="preserve">29 filas.</w:t>
            </w:r>
          </w:p>
        </w:tc>
        <w:tc>
          <w:tcPr>
            <w:tcW w:type="dxa" w:w="3060"/>
            <w:tcMar>
              <w:top w:type="dxa" w:w="50"/>
              <w:left w:type="dxa" w:w="90"/>
              <w:bottom w:type="dxa" w:w="50"/>
              <w:right w:type="dxa" w:w="90"/>
            </w:tcMar>
            <w:vAlign w:val="center"/>
          </w:tcPr>
          <w:p>
            <w:pPr>
              <w:spacing w:after="20"/>
              <w:jc w:val="left"/>
            </w:pPr>
            <w:r>
              <w:rPr>
                <w:sz w:val="18"/>
                <w:szCs w:val="18"/>
              </w:rPr>
              <w:t xml:space="preserve">Son devoluciones válidas (confirmado por el equipo); se conservan.</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P2</w:t>
            </w:r>
          </w:p>
        </w:tc>
        <w:tc>
          <w:tcPr>
            <w:tcW w:type="dxa" w:w="1800"/>
            <w:tcMar>
              <w:top w:type="dxa" w:w="50"/>
              <w:left w:type="dxa" w:w="90"/>
              <w:bottom w:type="dxa" w:w="50"/>
              <w:right w:type="dxa" w:w="90"/>
            </w:tcMar>
            <w:vAlign w:val="center"/>
          </w:tcPr>
          <w:p>
            <w:pPr>
              <w:spacing w:after="20"/>
              <w:jc w:val="left"/>
            </w:pPr>
            <w:r>
              <w:rPr>
                <w:sz w:val="18"/>
                <w:szCs w:val="18"/>
              </w:rPr>
              <w:t xml:space="preserve">Caída de aves en 2026</w:t>
            </w:r>
          </w:p>
        </w:tc>
        <w:tc>
          <w:tcPr>
            <w:tcW w:type="dxa" w:w="3500"/>
            <w:tcMar>
              <w:top w:type="dxa" w:w="50"/>
              <w:left w:type="dxa" w:w="90"/>
              <w:bottom w:type="dxa" w:w="50"/>
              <w:right w:type="dxa" w:w="90"/>
            </w:tcMar>
            <w:vAlign w:val="center"/>
          </w:tcPr>
          <w:p>
            <w:pPr>
              <w:spacing w:after="20"/>
              <w:jc w:val="left"/>
            </w:pPr>
            <w:r>
              <w:rPr>
                <w:sz w:val="18"/>
                <w:szCs w:val="18"/>
              </w:rPr>
              <w:t xml:space="preserve">Crecimiento de 12 meses de aproximadamente −6% a junio de 2026 en aves.</w:t>
            </w:r>
          </w:p>
        </w:tc>
        <w:tc>
          <w:tcPr>
            <w:tcW w:type="dxa" w:w="3060"/>
            <w:tcMar>
              <w:top w:type="dxa" w:w="50"/>
              <w:left w:type="dxa" w:w="90"/>
              <w:bottom w:type="dxa" w:w="50"/>
              <w:right w:type="dxa" w:w="90"/>
            </w:tcMar>
            <w:vAlign w:val="center"/>
          </w:tcPr>
          <w:p>
            <w:pPr>
              <w:spacing w:after="20"/>
              <w:jc w:val="left"/>
            </w:pPr>
            <w:r>
              <w:rPr>
                <w:sz w:val="18"/>
                <w:szCs w:val="18"/>
              </w:rPr>
              <w:t xml:space="preserve">Es real (confirmado). Es el principal desafío de la prueba.</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P3</w:t>
            </w:r>
          </w:p>
        </w:tc>
        <w:tc>
          <w:tcPr>
            <w:tcW w:type="dxa" w:w="1800"/>
            <w:tcMar>
              <w:top w:type="dxa" w:w="50"/>
              <w:left w:type="dxa" w:w="90"/>
              <w:bottom w:type="dxa" w:w="50"/>
              <w:right w:type="dxa" w:w="90"/>
            </w:tcMar>
            <w:vAlign w:val="center"/>
          </w:tcPr>
          <w:p>
            <w:pPr>
              <w:spacing w:after="20"/>
              <w:jc w:val="left"/>
            </w:pPr>
            <w:r>
              <w:rPr>
                <w:sz w:val="18"/>
                <w:szCs w:val="18"/>
              </w:rPr>
              <w:t xml:space="preserve">Columna "Grupo Empresa" ambigua</w:t>
            </w:r>
          </w:p>
        </w:tc>
        <w:tc>
          <w:tcPr>
            <w:tcW w:type="dxa" w:w="3500"/>
            <w:tcMar>
              <w:top w:type="dxa" w:w="50"/>
              <w:left w:type="dxa" w:w="90"/>
              <w:bottom w:type="dxa" w:w="50"/>
              <w:right w:type="dxa" w:w="90"/>
            </w:tcMar>
            <w:vAlign w:val="center"/>
          </w:tcPr>
          <w:p>
            <w:pPr>
              <w:spacing w:after="20"/>
              <w:jc w:val="left"/>
            </w:pPr>
            <w:r>
              <w:rPr>
                <w:sz w:val="18"/>
                <w:szCs w:val="18"/>
              </w:rPr>
              <w:t xml:space="preserve">19 valores (mayoría "Other") y 24 vacíos; mezcla nombres de empresa y de segmento.</w:t>
            </w:r>
          </w:p>
        </w:tc>
        <w:tc>
          <w:tcPr>
            <w:tcW w:type="dxa" w:w="3060"/>
            <w:tcMar>
              <w:top w:type="dxa" w:w="50"/>
              <w:left w:type="dxa" w:w="90"/>
              <w:bottom w:type="dxa" w:w="50"/>
              <w:right w:type="dxa" w:w="90"/>
            </w:tcMar>
            <w:vAlign w:val="center"/>
          </w:tcPr>
          <w:p>
            <w:pPr>
              <w:spacing w:after="20"/>
              <w:jc w:val="left"/>
            </w:pPr>
            <w:r>
              <w:rPr>
                <w:sz w:val="18"/>
                <w:szCs w:val="18"/>
              </w:rPr>
              <w:t xml:space="preserve">No se usa.</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P3</w:t>
            </w:r>
          </w:p>
        </w:tc>
        <w:tc>
          <w:tcPr>
            <w:tcW w:type="dxa" w:w="1800"/>
            <w:tcMar>
              <w:top w:type="dxa" w:w="50"/>
              <w:left w:type="dxa" w:w="90"/>
              <w:bottom w:type="dxa" w:w="50"/>
              <w:right w:type="dxa" w:w="90"/>
            </w:tcMar>
            <w:vAlign w:val="center"/>
          </w:tcPr>
          <w:p>
            <w:pPr>
              <w:spacing w:after="20"/>
              <w:jc w:val="left"/>
            </w:pPr>
            <w:r>
              <w:rPr>
                <w:sz w:val="18"/>
                <w:szCs w:val="18"/>
              </w:rPr>
              <w:t xml:space="preserve">Crecimiento anual de la base</w:t>
            </w:r>
          </w:p>
        </w:tc>
        <w:tc>
          <w:tcPr>
            <w:tcW w:type="dxa" w:w="3500"/>
            <w:tcMar>
              <w:top w:type="dxa" w:w="50"/>
              <w:left w:type="dxa" w:w="90"/>
              <w:bottom w:type="dxa" w:w="50"/>
              <w:right w:type="dxa" w:w="90"/>
            </w:tcMar>
            <w:vAlign w:val="center"/>
          </w:tcPr>
          <w:p>
            <w:pPr>
              <w:spacing w:after="20"/>
              <w:jc w:val="left"/>
            </w:pPr>
            <w:r>
              <w:rPr>
                <w:sz w:val="18"/>
                <w:szCs w:val="18"/>
              </w:rPr>
              <w:t xml:space="preserve">"Crec Mercado Q movil" coincide al 100% con el cálculo propio; "Crec Mercado Año" no coincide con crecimiento interanual, acumulado del año ni 12 meses móviles.</w:t>
            </w:r>
          </w:p>
        </w:tc>
        <w:tc>
          <w:tcPr>
            <w:tcW w:type="dxa" w:w="3060"/>
            <w:tcMar>
              <w:top w:type="dxa" w:w="50"/>
              <w:left w:type="dxa" w:w="90"/>
              <w:bottom w:type="dxa" w:w="50"/>
              <w:right w:type="dxa" w:w="90"/>
            </w:tcMar>
            <w:vAlign w:val="center"/>
          </w:tcPr>
          <w:p>
            <w:pPr>
              <w:spacing w:after="20"/>
              <w:jc w:val="left"/>
            </w:pPr>
            <w:r>
              <w:rPr>
                <w:sz w:val="18"/>
                <w:szCs w:val="18"/>
              </w:rPr>
              <w:t xml:space="preserve">Se recalculan todos los crecimientos; "Crec Mercado Año" no se usa.</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P3</w:t>
            </w:r>
          </w:p>
        </w:tc>
        <w:tc>
          <w:tcPr>
            <w:tcW w:type="dxa" w:w="1800"/>
            <w:tcMar>
              <w:top w:type="dxa" w:w="50"/>
              <w:left w:type="dxa" w:w="90"/>
              <w:bottom w:type="dxa" w:w="50"/>
              <w:right w:type="dxa" w:w="90"/>
            </w:tcMar>
            <w:vAlign w:val="center"/>
          </w:tcPr>
          <w:p>
            <w:pPr>
              <w:spacing w:after="20"/>
              <w:jc w:val="left"/>
            </w:pPr>
            <w:r>
              <w:rPr>
                <w:sz w:val="18"/>
                <w:szCs w:val="18"/>
              </w:rPr>
              <w:t xml:space="preserve">Formatos de texto y filas vacías</w:t>
            </w:r>
          </w:p>
        </w:tc>
        <w:tc>
          <w:tcPr>
            <w:tcW w:type="dxa" w:w="3500"/>
            <w:tcMar>
              <w:top w:type="dxa" w:w="50"/>
              <w:left w:type="dxa" w:w="90"/>
              <w:bottom w:type="dxa" w:w="50"/>
              <w:right w:type="dxa" w:w="90"/>
            </w:tcMar>
            <w:vAlign w:val="center"/>
          </w:tcPr>
          <w:p>
            <w:pPr>
              <w:spacing w:after="20"/>
              <w:jc w:val="left"/>
            </w:pPr>
            <w:r>
              <w:rPr>
                <w:sz w:val="18"/>
                <w:szCs w:val="18"/>
              </w:rPr>
              <w:t xml:space="preserve">Números con comas, porcentajes con signo %, 2 filas vacías al final.</w:t>
            </w:r>
          </w:p>
        </w:tc>
        <w:tc>
          <w:tcPr>
            <w:tcW w:type="dxa" w:w="3060"/>
            <w:tcMar>
              <w:top w:type="dxa" w:w="50"/>
              <w:left w:type="dxa" w:w="90"/>
              <w:bottom w:type="dxa" w:w="50"/>
              <w:right w:type="dxa" w:w="90"/>
            </w:tcMar>
            <w:vAlign w:val="center"/>
          </w:tcPr>
          <w:p>
            <w:pPr>
              <w:spacing w:after="20"/>
              <w:jc w:val="left"/>
            </w:pPr>
            <w:r>
              <w:rPr>
                <w:sz w:val="18"/>
                <w:szCs w:val="18"/>
              </w:rPr>
              <w:t xml:space="preserve">Conversión al leer el archivo.</w:t>
            </w:r>
          </w:p>
        </w:tc>
      </w:tr>
    </w:tbl>
    <w:p>
      <w:pPr>
        <w:keepNext/>
        <w:spacing w:after="40" w:before="80"/>
        <w:jc w:val="center"/>
      </w:pPr>
      <w:r>
        <w:drawing>
          <wp:inline distT="0" distB="0" distL="0" distR="0">
            <wp:extent cx="5619750" cy="2238375"/>
            <wp:effectExtent t="0" r="0" b="0" l="0"/>
            <wp:docPr id="1" name="f1_historia.png" descr="f1_historia.png" title="f1_histor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238375"/>
                    </a:xfrm>
                    <a:prstGeom prst="rect">
                      <a:avLst/>
                    </a:prstGeom>
                  </pic:spPr>
                </pic:pic>
              </a:graphicData>
            </a:graphic>
          </wp:inline>
        </w:drawing>
      </w:r>
    </w:p>
    <w:p>
      <w:pPr>
        <w:spacing w:after="200" w:before="60"/>
      </w:pPr>
      <w:r>
        <w:rPr>
          <w:i/>
          <w:iCs/>
          <w:color w:val="5E6E69"/>
          <w:sz w:val="18"/>
          <w:szCs w:val="18"/>
        </w:rPr>
        <w:t xml:space="preserve">Figura 1. Crecimiento anual nominal por especie, 2021 a 2026 (2026 con julio a diciembre estimado). Líneas punteadas: umbrales de 8% y 15%.</w:t>
      </w:r>
    </w:p>
    <w:p>
      <w:pPr>
        <w:pStyle w:val="Heading2"/>
      </w:pPr>
      <w:r>
        <w:t xml:space="preserve">2.3 Sesgo y representatividad</w:t>
      </w:r>
    </w:p>
    <w:p>
      <w:pPr>
        <w:pStyle w:val="ListParagraph"/>
        <w:numPr>
          <w:ilvl w:val="0"/>
          <w:numId w:val="2"/>
        </w:numPr>
        <w:spacing w:after="60" w:line="264"/>
      </w:pPr>
      <w:r>
        <w:rPr>
          <w:b/>
          <w:bCs/>
        </w:rPr>
        <w:t xml:space="preserve">Cobertura por segmento.</w:t>
      </w:r>
      <w:r>
        <w:t xml:space="preserve"> Aves solo tiene vacunas y cerdos solo antimicrobianos y vacunas. El "mercado" de esas especies es el de esos segmentos, no el mercado farmacéutico completo. La proyección no debe leerse como el mercado total de aves o cerdos. </w:t>
      </w:r>
      <w:r>
        <w:rPr>
          <w:highlight w:val="yellow"/>
          <w:highlightCs w:val="yellow"/>
        </w:rPr>
        <w:t xml:space="preserve">[Confirmar el criterio de cobertura de la base]</w:t>
      </w:r>
      <w:r>
        <w:t xml:space="preserve">.</w:t>
      </w:r>
    </w:p>
    <w:p>
      <w:pPr>
        <w:pStyle w:val="ListParagraph"/>
        <w:numPr>
          <w:ilvl w:val="0"/>
          <w:numId w:val="2"/>
        </w:numPr>
        <w:spacing w:after="60" w:line="264"/>
      </w:pPr>
      <w:r>
        <w:rPr>
          <w:b/>
          <w:bCs/>
        </w:rPr>
        <w:t xml:space="preserve">Agregado nacional.</w:t>
      </w:r>
      <w:r>
        <w:t xml:space="preserve"> Las series y los precios son promedios nacionales. No representan diferencias regionales, tamaño de productor (grande o pequeño) ni canal (clínica, distribuidor, finca).</w:t>
      </w:r>
    </w:p>
    <w:p>
      <w:pPr>
        <w:pStyle w:val="ListParagraph"/>
        <w:numPr>
          <w:ilvl w:val="0"/>
          <w:numId w:val="2"/>
        </w:numPr>
        <w:spacing w:after="60" w:line="264"/>
      </w:pPr>
      <w:r>
        <w:rPr>
          <w:b/>
          <w:bCs/>
        </w:rPr>
        <w:t xml:space="preserve">Efecto del ciclo 2020-2026.</w:t>
      </w:r>
      <w:r>
        <w:t xml:space="preserve"> El periodo incluye la recuperación posterior a la pandemia, una inflación de dos dígitos en 2022 y 2023 y shocks sanitarios o de precios. Esas condiciones pueden no repetirse en 2027.</w:t>
      </w:r>
    </w:p>
    <w:p>
      <w:pPr>
        <w:pStyle w:val="ListParagraph"/>
        <w:numPr>
          <w:ilvl w:val="0"/>
          <w:numId w:val="2"/>
        </w:numPr>
        <w:spacing w:after="60" w:line="264"/>
      </w:pPr>
      <w:r>
        <w:rPr>
          <w:b/>
          <w:bCs/>
        </w:rPr>
        <w:t xml:space="preserve">Crecimiento nominal.</w:t>
      </w:r>
      <w:r>
        <w:t xml:space="preserve"> Las ventas están en pesos corrientes. Parte del crecimiento es inflación; por decisión del equipo se modela el crecimiento nominal y se documenta esa dependencia.</w:t>
      </w:r>
    </w:p>
    <w:p>
      <w:pPr>
        <w:pStyle w:val="ListParagraph"/>
        <w:numPr>
          <w:ilvl w:val="0"/>
          <w:numId w:val="2"/>
        </w:numPr>
        <w:spacing w:after="60" w:line="264"/>
      </w:pPr>
      <w:r>
        <w:rPr>
          <w:b/>
          <w:bCs/>
        </w:rPr>
        <w:t xml:space="preserve">Sesgo por posición del Laboratorio.</w:t>
      </w:r>
      <w:r>
        <w:t xml:space="preserve"> El Laboratorio lidera el mercado de cerdos (participación de 40% a 50%) y tiene una participación baja en bovinos (alrededor de 4%). El modelo del laboratorio aprende mucho más de las especies donde pesa más y puede ser poco confiable donde su peso es bajo.</w:t>
      </w:r>
    </w:p>
    <w:p>
      <w:pPr>
        <w:pStyle w:val="ListParagraph"/>
        <w:numPr>
          <w:ilvl w:val="0"/>
          <w:numId w:val="2"/>
        </w:numPr>
        <w:spacing w:after="60" w:line="264"/>
      </w:pPr>
      <w:r>
        <w:rPr>
          <w:b/>
          <w:bCs/>
        </w:rPr>
        <w:t xml:space="preserve">Ventas internas frente a mercado de terceros.</w:t>
      </w:r>
      <w:r>
        <w:t xml:space="preserve"> Si las fuentes miden cosas distintas (por ejemplo ventas a distribuidor y ventas al usuario final), las participaciones mayores a 1 reflejan esa diferencia. </w:t>
      </w:r>
      <w:r>
        <w:rPr>
          <w:highlight w:val="yellow"/>
          <w:highlightCs w:val="yellow"/>
        </w:rPr>
        <w:t xml:space="preserve">[Confirmar la definición de cada medición]</w:t>
      </w:r>
      <w:r>
        <w:t xml:space="preserve">.</w:t>
      </w:r>
    </w:p>
    <w:p>
      <w:pPr>
        <w:pStyle w:val="ListParagraph"/>
        <w:numPr>
          <w:ilvl w:val="0"/>
          <w:numId w:val="2"/>
        </w:numPr>
        <w:spacing w:after="60" w:line="264"/>
      </w:pPr>
      <w:r>
        <w:rPr>
          <w:b/>
          <w:bCs/>
        </w:rPr>
        <w:t xml:space="preserve">Perros y gatos.</w:t>
      </w:r>
      <w:r>
        <w:t xml:space="preserve"> La población de mascotas existe en la base, pero se excluyó del modelo por decisión del equipo; el efecto del ingreso de los hogares sobre animales de compañía se representa solo con la inflación.</w:t>
      </w:r>
    </w:p>
    <w:p>
      <w:pPr>
        <w:pStyle w:val="Heading1"/>
        <w:spacing w:after="200" w:before="480"/>
      </w:pPr>
      <w:r>
        <w:t xml:space="preserve">3. Preparación y diseño experimental</w:t>
      </w:r>
    </w:p>
    <w:p>
      <w:pPr>
        <w:pStyle w:val="Heading2"/>
      </w:pPr>
      <w:r>
        <w:t xml:space="preserve">3.1 Unidad de análisis y variables</w:t>
      </w:r>
    </w:p>
    <w:p>
      <w:pPr>
        <w:spacing w:after="120" w:line="276"/>
      </w:pPr>
      <w:r>
        <w:t xml:space="preserve">Cada observación es una especie en un mes t. La variable objetivo es el crecimiento nominal de la venta acumulada de los 12 meses que terminan en t frente a los 12 meses anteriores. En t = diciembre de 2027 es el crecimiento anual de 2027, que es lo que se quiere proyectar. Esto produce unas 49 observaciones por especie en el mercado y 25 en el laboratorio.</w:t>
      </w:r>
    </w:p>
    <w:p>
      <w:pPr>
        <w:spacing w:after="120" w:line="276"/>
      </w:pPr>
      <w:r>
        <w:rPr>
          <w:b/>
          <w:bCs/>
        </w:rPr>
        <w:t xml:space="preserve">Variables explicativas</w:t>
      </w:r>
      <w:r>
        <w:t xml:space="preserve"> (todas calculadas con información disponible hasta t): inflación de 12 meses (IPC), PIB, PIB agropecuario y aumento del salario mínimo (promedios de los 12 meses), cambio del precio promedio de 12 meses de la leche, la carne de res, la carne de cerdo, el huevo y el pollo (cada una solo para su especie, cero para las demás), un término propio de inflación para animales de compañía y la especie en codificación one-hot. El modelo del laboratorio agrega el crecimiento del mercado de la especie.</w:t>
      </w:r>
    </w:p>
    <w:p>
      <w:pPr>
        <w:pStyle w:val="Heading2"/>
      </w:pPr>
      <w:r>
        <w:t xml:space="preserve">3.2 Partición antes de cualquier transformación</w:t>
      </w:r>
    </w:p>
    <w:p>
      <w:pPr>
        <w:spacing w:after="120" w:line="276"/>
      </w:pPr>
      <w:r>
        <w:t xml:space="preserve">La partición es temporal y se define sobre el mes t, antes de ajustar cualquier escalador o modelo. Se descarta la partición aleatoria porque mezclaría meses vecinos cuyas ventanas de 12 meses se solapan.</w:t>
      </w:r>
    </w:p>
    <w:p>
      <w:pPr>
        <w:keepNext/>
        <w:spacing w:after="60" w:before="160"/>
      </w:pPr>
      <w:r>
        <w:rPr>
          <w:b/>
          <w:bCs/>
          <w:color w:val="13201C"/>
          <w:sz w:val="19"/>
          <w:szCs w:val="19"/>
        </w:rPr>
        <w:t xml:space="preserve">Tabla 3. Partición</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1500"/>
        <w:gridCol w:w="2500"/>
        <w:gridCol w:w="1300"/>
        <w:gridCol w:w="1400"/>
        <w:gridCol w:w="2660"/>
      </w:tblGrid>
      <w:tr>
        <w:trPr>
          <w:cantSplit/>
          <w:tblHeader/>
        </w:trPr>
        <w:tc>
          <w:tcPr>
            <w:tcW w:type="dxa" w:w="1500"/>
            <w:shd w:fill="E4EEEB" w:color="auto" w:val="clear"/>
            <w:tcMar>
              <w:top w:type="dxa" w:w="50"/>
              <w:left w:type="dxa" w:w="90"/>
              <w:bottom w:type="dxa" w:w="50"/>
              <w:right w:type="dxa" w:w="90"/>
            </w:tcMar>
            <w:vAlign w:val="center"/>
          </w:tcPr>
          <w:p>
            <w:pPr>
              <w:spacing w:after="20"/>
              <w:jc w:val="left"/>
            </w:pPr>
            <w:r>
              <w:rPr>
                <w:b/>
                <w:bCs/>
                <w:sz w:val="18"/>
                <w:szCs w:val="18"/>
              </w:rPr>
              <w:t xml:space="preserve">Conjunto</w:t>
            </w:r>
          </w:p>
        </w:tc>
        <w:tc>
          <w:tcPr>
            <w:tcW w:type="dxa" w:w="2500"/>
            <w:shd w:fill="E4EEEB" w:color="auto" w:val="clear"/>
            <w:tcMar>
              <w:top w:type="dxa" w:w="50"/>
              <w:left w:type="dxa" w:w="90"/>
              <w:bottom w:type="dxa" w:w="50"/>
              <w:right w:type="dxa" w:w="90"/>
            </w:tcMar>
            <w:vAlign w:val="center"/>
          </w:tcPr>
          <w:p>
            <w:pPr>
              <w:spacing w:after="20"/>
              <w:jc w:val="left"/>
            </w:pPr>
            <w:r>
              <w:rPr>
                <w:b/>
                <w:bCs/>
                <w:sz w:val="18"/>
                <w:szCs w:val="18"/>
              </w:rPr>
              <w:t xml:space="preserve">Periodo (mes t)</w:t>
            </w:r>
          </w:p>
        </w:tc>
        <w:tc>
          <w:tcPr>
            <w:tcW w:type="dxa" w:w="1300"/>
            <w:shd w:fill="E4EEEB" w:color="auto" w:val="clear"/>
            <w:tcMar>
              <w:top w:type="dxa" w:w="50"/>
              <w:left w:type="dxa" w:w="90"/>
              <w:bottom w:type="dxa" w:w="50"/>
              <w:right w:type="dxa" w:w="90"/>
            </w:tcMar>
            <w:vAlign w:val="center"/>
          </w:tcPr>
          <w:p>
            <w:pPr>
              <w:spacing w:after="20"/>
              <w:jc w:val="left"/>
            </w:pPr>
            <w:r>
              <w:rPr>
                <w:b/>
                <w:bCs/>
                <w:sz w:val="18"/>
                <w:szCs w:val="18"/>
              </w:rPr>
              <w:t xml:space="preserve">Mercado (filas)</w:t>
            </w:r>
          </w:p>
        </w:tc>
        <w:tc>
          <w:tcPr>
            <w:tcW w:type="dxa" w:w="1400"/>
            <w:shd w:fill="E4EEEB" w:color="auto" w:val="clear"/>
            <w:tcMar>
              <w:top w:type="dxa" w:w="50"/>
              <w:left w:type="dxa" w:w="90"/>
              <w:bottom w:type="dxa" w:w="50"/>
              <w:right w:type="dxa" w:w="90"/>
            </w:tcMar>
            <w:vAlign w:val="center"/>
          </w:tcPr>
          <w:p>
            <w:pPr>
              <w:spacing w:after="20"/>
              <w:jc w:val="left"/>
            </w:pPr>
            <w:r>
              <w:rPr>
                <w:b/>
                <w:bCs/>
                <w:sz w:val="18"/>
                <w:szCs w:val="18"/>
              </w:rPr>
              <w:t xml:space="preserve">Laboratorio (filas)</w:t>
            </w:r>
          </w:p>
        </w:tc>
        <w:tc>
          <w:tcPr>
            <w:tcW w:type="dxa" w:w="2660"/>
            <w:shd w:fill="E4EEEB" w:color="auto" w:val="clear"/>
            <w:tcMar>
              <w:top w:type="dxa" w:w="50"/>
              <w:left w:type="dxa" w:w="90"/>
              <w:bottom w:type="dxa" w:w="50"/>
              <w:right w:type="dxa" w:w="90"/>
            </w:tcMar>
            <w:vAlign w:val="center"/>
          </w:tcPr>
          <w:p>
            <w:pPr>
              <w:spacing w:after="20"/>
              <w:jc w:val="left"/>
            </w:pPr>
            <w:r>
              <w:rPr>
                <w:b/>
                <w:bCs/>
                <w:sz w:val="18"/>
                <w:szCs w:val="18"/>
              </w:rPr>
              <w:t xml:space="preserve">Uso</w:t>
            </w:r>
          </w:p>
        </w:tc>
      </w:tr>
      <w:tr>
        <w:trPr>
          <w:cantSplit/>
        </w:trPr>
        <w:tc>
          <w:tcPr>
            <w:tcW w:type="dxa" w:w="1500"/>
            <w:tcMar>
              <w:top w:type="dxa" w:w="50"/>
              <w:left w:type="dxa" w:w="90"/>
              <w:bottom w:type="dxa" w:w="50"/>
              <w:right w:type="dxa" w:w="90"/>
            </w:tcMar>
            <w:vAlign w:val="center"/>
          </w:tcPr>
          <w:p>
            <w:pPr>
              <w:spacing w:after="20"/>
              <w:jc w:val="left"/>
            </w:pPr>
            <w:r>
              <w:rPr>
                <w:sz w:val="18"/>
                <w:szCs w:val="18"/>
              </w:rPr>
              <w:t xml:space="preserve">Entrenamiento</w:t>
            </w:r>
          </w:p>
        </w:tc>
        <w:tc>
          <w:tcPr>
            <w:tcW w:type="dxa" w:w="2500"/>
            <w:tcMar>
              <w:top w:type="dxa" w:w="50"/>
              <w:left w:type="dxa" w:w="90"/>
              <w:bottom w:type="dxa" w:w="50"/>
              <w:right w:type="dxa" w:w="90"/>
            </w:tcMar>
            <w:vAlign w:val="center"/>
          </w:tcPr>
          <w:p>
            <w:pPr>
              <w:spacing w:after="20"/>
              <w:jc w:val="left"/>
            </w:pPr>
            <w:r>
              <w:rPr>
                <w:sz w:val="18"/>
                <w:szCs w:val="18"/>
              </w:rPr>
              <w:t xml:space="preserve">Mercado: dic-2021 a dic-2025</w:t>
            </w:r>
          </w:p>
          <w:p>
            <w:pPr>
              <w:spacing w:after="20"/>
              <w:jc w:val="left"/>
            </w:pPr>
            <w:r>
              <w:rPr>
                <w:sz w:val="18"/>
                <w:szCs w:val="18"/>
              </w:rPr>
              <w:t xml:space="preserve">Lab.: dic-2023 a dic-2025</w:t>
            </w:r>
          </w:p>
        </w:tc>
        <w:tc>
          <w:tcPr>
            <w:tcW w:type="dxa" w:w="1300"/>
            <w:tcMar>
              <w:top w:type="dxa" w:w="50"/>
              <w:left w:type="dxa" w:w="90"/>
              <w:bottom w:type="dxa" w:w="50"/>
              <w:right w:type="dxa" w:w="90"/>
            </w:tcMar>
            <w:vAlign w:val="center"/>
          </w:tcPr>
          <w:p>
            <w:pPr>
              <w:spacing w:after="20"/>
              <w:jc w:val="left"/>
            </w:pPr>
            <w:r>
              <w:rPr>
                <w:sz w:val="18"/>
                <w:szCs w:val="18"/>
              </w:rPr>
              <w:t xml:space="preserve">196</w:t>
            </w:r>
          </w:p>
        </w:tc>
        <w:tc>
          <w:tcPr>
            <w:tcW w:type="dxa" w:w="1400"/>
            <w:tcMar>
              <w:top w:type="dxa" w:w="50"/>
              <w:left w:type="dxa" w:w="90"/>
              <w:bottom w:type="dxa" w:w="50"/>
              <w:right w:type="dxa" w:w="90"/>
            </w:tcMar>
            <w:vAlign w:val="center"/>
          </w:tcPr>
          <w:p>
            <w:pPr>
              <w:spacing w:after="20"/>
              <w:jc w:val="left"/>
            </w:pPr>
            <w:r>
              <w:rPr>
                <w:sz w:val="18"/>
                <w:szCs w:val="18"/>
              </w:rPr>
              <w:t xml:space="preserve">100</w:t>
            </w:r>
          </w:p>
        </w:tc>
        <w:tc>
          <w:tcPr>
            <w:tcW w:type="dxa" w:w="2660"/>
            <w:tcMar>
              <w:top w:type="dxa" w:w="50"/>
              <w:left w:type="dxa" w:w="90"/>
              <w:bottom w:type="dxa" w:w="50"/>
              <w:right w:type="dxa" w:w="90"/>
            </w:tcMar>
            <w:vAlign w:val="center"/>
          </w:tcPr>
          <w:p>
            <w:pPr>
              <w:spacing w:after="20"/>
              <w:jc w:val="left"/>
            </w:pPr>
            <w:r>
              <w:rPr>
                <w:sz w:val="18"/>
                <w:szCs w:val="18"/>
              </w:rPr>
              <w:t xml:space="preserve">Validación cruzada, ajuste de hiperparámetros y selección</w:t>
            </w:r>
          </w:p>
        </w:tc>
      </w:tr>
      <w:tr>
        <w:trPr>
          <w:cantSplit/>
        </w:trPr>
        <w:tc>
          <w:tcPr>
            <w:tcW w:type="dxa" w:w="1500"/>
            <w:tcMar>
              <w:top w:type="dxa" w:w="50"/>
              <w:left w:type="dxa" w:w="90"/>
              <w:bottom w:type="dxa" w:w="50"/>
              <w:right w:type="dxa" w:w="90"/>
            </w:tcMar>
            <w:vAlign w:val="center"/>
          </w:tcPr>
          <w:p>
            <w:pPr>
              <w:spacing w:after="20"/>
              <w:jc w:val="left"/>
            </w:pPr>
            <w:r>
              <w:rPr>
                <w:sz w:val="18"/>
                <w:szCs w:val="18"/>
              </w:rPr>
              <w:t xml:space="preserve">Prueba</w:t>
            </w:r>
          </w:p>
        </w:tc>
        <w:tc>
          <w:tcPr>
            <w:tcW w:type="dxa" w:w="2500"/>
            <w:tcMar>
              <w:top w:type="dxa" w:w="50"/>
              <w:left w:type="dxa" w:w="90"/>
              <w:bottom w:type="dxa" w:w="50"/>
              <w:right w:type="dxa" w:w="90"/>
            </w:tcMar>
            <w:vAlign w:val="center"/>
          </w:tcPr>
          <w:p>
            <w:pPr>
              <w:spacing w:after="20"/>
              <w:jc w:val="left"/>
            </w:pPr>
            <w:r>
              <w:rPr>
                <w:sz w:val="18"/>
                <w:szCs w:val="18"/>
              </w:rPr>
              <w:t xml:space="preserve">ene-2026 a jun-2026</w:t>
            </w:r>
          </w:p>
        </w:tc>
        <w:tc>
          <w:tcPr>
            <w:tcW w:type="dxa" w:w="1300"/>
            <w:tcMar>
              <w:top w:type="dxa" w:w="50"/>
              <w:left w:type="dxa" w:w="90"/>
              <w:bottom w:type="dxa" w:w="50"/>
              <w:right w:type="dxa" w:w="90"/>
            </w:tcMar>
            <w:vAlign w:val="center"/>
          </w:tcPr>
          <w:p>
            <w:pPr>
              <w:spacing w:after="20"/>
              <w:jc w:val="left"/>
            </w:pPr>
            <w:r>
              <w:rPr>
                <w:sz w:val="18"/>
                <w:szCs w:val="18"/>
              </w:rPr>
              <w:t xml:space="preserve">24</w:t>
            </w:r>
          </w:p>
        </w:tc>
        <w:tc>
          <w:tcPr>
            <w:tcW w:type="dxa" w:w="1400"/>
            <w:tcMar>
              <w:top w:type="dxa" w:w="50"/>
              <w:left w:type="dxa" w:w="90"/>
              <w:bottom w:type="dxa" w:w="50"/>
              <w:right w:type="dxa" w:w="90"/>
            </w:tcMar>
            <w:vAlign w:val="center"/>
          </w:tcPr>
          <w:p>
            <w:pPr>
              <w:spacing w:after="20"/>
              <w:jc w:val="left"/>
            </w:pPr>
            <w:r>
              <w:rPr>
                <w:sz w:val="18"/>
                <w:szCs w:val="18"/>
              </w:rPr>
              <w:t xml:space="preserve">24</w:t>
            </w:r>
          </w:p>
        </w:tc>
        <w:tc>
          <w:tcPr>
            <w:tcW w:type="dxa" w:w="2660"/>
            <w:tcMar>
              <w:top w:type="dxa" w:w="50"/>
              <w:left w:type="dxa" w:w="90"/>
              <w:bottom w:type="dxa" w:w="50"/>
              <w:right w:type="dxa" w:w="90"/>
            </w:tcMar>
            <w:vAlign w:val="center"/>
          </w:tcPr>
          <w:p>
            <w:pPr>
              <w:spacing w:after="20"/>
              <w:jc w:val="left"/>
            </w:pPr>
            <w:r>
              <w:rPr>
                <w:sz w:val="18"/>
                <w:szCs w:val="18"/>
              </w:rPr>
              <w:t xml:space="preserve">Una sola evaluación al final</w:t>
            </w:r>
          </w:p>
        </w:tc>
      </w:tr>
      <w:tr>
        <w:trPr>
          <w:cantSplit/>
        </w:trPr>
        <w:tc>
          <w:tcPr>
            <w:tcW w:type="dxa" w:w="1500"/>
            <w:tcMar>
              <w:top w:type="dxa" w:w="50"/>
              <w:left w:type="dxa" w:w="90"/>
              <w:bottom w:type="dxa" w:w="50"/>
              <w:right w:type="dxa" w:w="90"/>
            </w:tcMar>
            <w:vAlign w:val="center"/>
          </w:tcPr>
          <w:p>
            <w:pPr>
              <w:spacing w:after="20"/>
              <w:jc w:val="left"/>
            </w:pPr>
            <w:r>
              <w:rPr>
                <w:sz w:val="18"/>
                <w:szCs w:val="18"/>
              </w:rPr>
              <w:t xml:space="preserve">Excluido</w:t>
            </w:r>
          </w:p>
        </w:tc>
        <w:tc>
          <w:tcPr>
            <w:tcW w:type="dxa" w:w="2500"/>
            <w:tcMar>
              <w:top w:type="dxa" w:w="50"/>
              <w:left w:type="dxa" w:w="90"/>
              <w:bottom w:type="dxa" w:w="50"/>
              <w:right w:type="dxa" w:w="90"/>
            </w:tcMar>
            <w:vAlign w:val="center"/>
          </w:tcPr>
          <w:p>
            <w:pPr>
              <w:spacing w:after="20"/>
              <w:jc w:val="left"/>
            </w:pPr>
            <w:r>
              <w:rPr>
                <w:sz w:val="18"/>
                <w:szCs w:val="18"/>
              </w:rPr>
              <w:t xml:space="preserve">jul-2026 a dic-2026</w:t>
            </w:r>
          </w:p>
        </w:tc>
        <w:tc>
          <w:tcPr>
            <w:tcW w:type="dxa" w:w="1300"/>
            <w:tcMar>
              <w:top w:type="dxa" w:w="50"/>
              <w:left w:type="dxa" w:w="90"/>
              <w:bottom w:type="dxa" w:w="50"/>
              <w:right w:type="dxa" w:w="90"/>
            </w:tcMar>
            <w:vAlign w:val="center"/>
          </w:tcPr>
          <w:p>
            <w:pPr>
              <w:spacing w:after="20"/>
              <w:jc w:val="left"/>
            </w:pPr>
            <w:r>
              <w:rPr>
                <w:sz w:val="18"/>
                <w:szCs w:val="18"/>
              </w:rPr>
              <w:t xml:space="preserve">24</w:t>
            </w:r>
          </w:p>
        </w:tc>
        <w:tc>
          <w:tcPr>
            <w:tcW w:type="dxa" w:w="1400"/>
            <w:tcMar>
              <w:top w:type="dxa" w:w="50"/>
              <w:left w:type="dxa" w:w="90"/>
              <w:bottom w:type="dxa" w:w="50"/>
              <w:right w:type="dxa" w:w="90"/>
            </w:tcMar>
            <w:vAlign w:val="center"/>
          </w:tcPr>
          <w:p>
            <w:pPr>
              <w:spacing w:after="20"/>
              <w:jc w:val="left"/>
            </w:pPr>
            <w:r>
              <w:rPr>
                <w:sz w:val="18"/>
                <w:szCs w:val="18"/>
              </w:rPr>
              <w:t xml:space="preserve">24</w:t>
            </w:r>
          </w:p>
        </w:tc>
        <w:tc>
          <w:tcPr>
            <w:tcW w:type="dxa" w:w="2660"/>
            <w:tcMar>
              <w:top w:type="dxa" w:w="50"/>
              <w:left w:type="dxa" w:w="90"/>
              <w:bottom w:type="dxa" w:w="50"/>
              <w:right w:type="dxa" w:w="90"/>
            </w:tcMar>
            <w:vAlign w:val="center"/>
          </w:tcPr>
          <w:p>
            <w:pPr>
              <w:spacing w:after="20"/>
              <w:jc w:val="left"/>
            </w:pPr>
            <w:r>
              <w:rPr>
                <w:sz w:val="18"/>
                <w:szCs w:val="18"/>
              </w:rPr>
              <w:t xml:space="preserve">Ventanas con meses completados; no se usa para ajustar ni evaluar</w:t>
            </w:r>
          </w:p>
        </w:tc>
      </w:tr>
    </w:tbl>
    <w:p>
      <w:pPr>
        <w:pStyle w:val="Heading2"/>
      </w:pPr>
      <w:r>
        <w:t xml:space="preserve">3.3 Flujo encapsulado en un Pipeline</w:t>
      </w:r>
    </w:p>
    <w:p>
      <w:pPr>
        <w:spacing w:after="120" w:line="276"/>
      </w:pPr>
      <w:r>
        <w:t xml:space="preserve">Toda transformación ajustada vive dentro de un Pipeline de scikit-learn, de modo que se ajusta solo con los datos de entrenamiento de cada pliegue:</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800"/>
        <w:gridCol w:w="5000"/>
        <w:gridCol w:w="3560"/>
      </w:tblGrid>
      <w:tr>
        <w:trPr>
          <w:cantSplit/>
          <w:tblHeader/>
        </w:trPr>
        <w:tc>
          <w:tcPr>
            <w:tcW w:type="dxa" w:w="800"/>
            <w:shd w:fill="E4EEEB" w:color="auto" w:val="clear"/>
            <w:tcMar>
              <w:top w:type="dxa" w:w="50"/>
              <w:left w:type="dxa" w:w="90"/>
              <w:bottom w:type="dxa" w:w="50"/>
              <w:right w:type="dxa" w:w="90"/>
            </w:tcMar>
            <w:vAlign w:val="center"/>
          </w:tcPr>
          <w:p>
            <w:pPr>
              <w:spacing w:after="20"/>
              <w:jc w:val="left"/>
            </w:pPr>
            <w:r>
              <w:rPr>
                <w:b/>
                <w:bCs/>
                <w:sz w:val="18"/>
                <w:szCs w:val="18"/>
              </w:rPr>
              <w:t xml:space="preserve">Paso</w:t>
            </w:r>
          </w:p>
        </w:tc>
        <w:tc>
          <w:tcPr>
            <w:tcW w:type="dxa" w:w="5000"/>
            <w:shd w:fill="E4EEEB" w:color="auto" w:val="clear"/>
            <w:tcMar>
              <w:top w:type="dxa" w:w="50"/>
              <w:left w:type="dxa" w:w="90"/>
              <w:bottom w:type="dxa" w:w="50"/>
              <w:right w:type="dxa" w:w="90"/>
            </w:tcMar>
            <w:vAlign w:val="center"/>
          </w:tcPr>
          <w:p>
            <w:pPr>
              <w:spacing w:after="20"/>
              <w:jc w:val="left"/>
            </w:pPr>
            <w:r>
              <w:rPr>
                <w:b/>
                <w:bCs/>
                <w:sz w:val="18"/>
                <w:szCs w:val="18"/>
              </w:rPr>
              <w:t xml:space="preserve">Componente</w:t>
            </w:r>
          </w:p>
        </w:tc>
        <w:tc>
          <w:tcPr>
            <w:tcW w:type="dxa" w:w="3560"/>
            <w:shd w:fill="E4EEEB" w:color="auto" w:val="clear"/>
            <w:tcMar>
              <w:top w:type="dxa" w:w="50"/>
              <w:left w:type="dxa" w:w="90"/>
              <w:bottom w:type="dxa" w:w="50"/>
              <w:right w:type="dxa" w:w="90"/>
            </w:tcMar>
            <w:vAlign w:val="center"/>
          </w:tcPr>
          <w:p>
            <w:pPr>
              <w:spacing w:after="20"/>
              <w:jc w:val="left"/>
            </w:pPr>
            <w:r>
              <w:rPr>
                <w:b/>
                <w:bCs/>
                <w:sz w:val="18"/>
                <w:szCs w:val="18"/>
              </w:rPr>
              <w:t xml:space="preserve">Qué aprende y de dónde</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1</w:t>
            </w:r>
          </w:p>
        </w:tc>
        <w:tc>
          <w:tcPr>
            <w:tcW w:type="dxa" w:w="5000"/>
            <w:tcMar>
              <w:top w:type="dxa" w:w="50"/>
              <w:left w:type="dxa" w:w="90"/>
              <w:bottom w:type="dxa" w:w="50"/>
              <w:right w:type="dxa" w:w="90"/>
            </w:tcMar>
            <w:vAlign w:val="center"/>
          </w:tcPr>
          <w:p>
            <w:pPr>
              <w:spacing w:after="20"/>
              <w:jc w:val="left"/>
            </w:pPr>
            <w:r>
              <w:rPr>
                <w:sz w:val="18"/>
                <w:szCs w:val="18"/>
              </w:rPr>
              <w:t xml:space="preserve">ColumnTransformer: StandardScaler en las variables continuas; la especie (one-hot) pasa sin escalar</w:t>
            </w:r>
          </w:p>
        </w:tc>
        <w:tc>
          <w:tcPr>
            <w:tcW w:type="dxa" w:w="3560"/>
            <w:tcMar>
              <w:top w:type="dxa" w:w="50"/>
              <w:left w:type="dxa" w:w="90"/>
              <w:bottom w:type="dxa" w:w="50"/>
              <w:right w:type="dxa" w:w="90"/>
            </w:tcMar>
            <w:vAlign w:val="center"/>
          </w:tcPr>
          <w:p>
            <w:pPr>
              <w:spacing w:after="20"/>
              <w:jc w:val="left"/>
            </w:pPr>
            <w:r>
              <w:rPr>
                <w:sz w:val="18"/>
                <w:szCs w:val="18"/>
              </w:rPr>
              <w:t xml:space="preserve">Media y desviación de las filas de entrenamiento del pliegue</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2</w:t>
            </w:r>
          </w:p>
        </w:tc>
        <w:tc>
          <w:tcPr>
            <w:tcW w:type="dxa" w:w="5000"/>
            <w:tcMar>
              <w:top w:type="dxa" w:w="50"/>
              <w:left w:type="dxa" w:w="90"/>
              <w:bottom w:type="dxa" w:w="50"/>
              <w:right w:type="dxa" w:w="90"/>
            </w:tcMar>
            <w:vAlign w:val="center"/>
          </w:tcPr>
          <w:p>
            <w:pPr>
              <w:spacing w:after="20"/>
              <w:jc w:val="left"/>
            </w:pPr>
            <w:r>
              <w:rPr>
                <w:sz w:val="18"/>
                <w:szCs w:val="18"/>
              </w:rPr>
              <w:t xml:space="preserve">Ponderación por clase de escenario (opcional)</w:t>
            </w:r>
          </w:p>
        </w:tc>
        <w:tc>
          <w:tcPr>
            <w:tcW w:type="dxa" w:w="3560"/>
            <w:tcMar>
              <w:top w:type="dxa" w:w="50"/>
              <w:left w:type="dxa" w:w="90"/>
              <w:bottom w:type="dxa" w:w="50"/>
              <w:right w:type="dxa" w:w="90"/>
            </w:tcMar>
            <w:vAlign w:val="center"/>
          </w:tcPr>
          <w:p>
            <w:pPr>
              <w:spacing w:after="20"/>
              <w:jc w:val="left"/>
            </w:pPr>
            <w:r>
              <w:rPr>
                <w:sz w:val="18"/>
                <w:szCs w:val="18"/>
              </w:rPr>
              <w:t xml:space="preserve">Frecuencias de clase de las filas de entrenamiento del pliegue</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3</w:t>
            </w:r>
          </w:p>
        </w:tc>
        <w:tc>
          <w:tcPr>
            <w:tcW w:type="dxa" w:w="5000"/>
            <w:tcMar>
              <w:top w:type="dxa" w:w="50"/>
              <w:left w:type="dxa" w:w="90"/>
              <w:bottom w:type="dxa" w:w="50"/>
              <w:right w:type="dxa" w:w="90"/>
            </w:tcMar>
            <w:vAlign w:val="center"/>
          </w:tcPr>
          <w:p>
            <w:pPr>
              <w:spacing w:after="20"/>
              <w:jc w:val="left"/>
            </w:pPr>
            <w:r>
              <w:rPr>
                <w:sz w:val="18"/>
                <w:szCs w:val="18"/>
              </w:rPr>
              <w:t xml:space="preserve">Modelo (Ridge por especie, Ridge común, Elastic Net, Random Forest o Gradient Boosting)</w:t>
            </w:r>
          </w:p>
        </w:tc>
        <w:tc>
          <w:tcPr>
            <w:tcW w:type="dxa" w:w="3560"/>
            <w:tcMar>
              <w:top w:type="dxa" w:w="50"/>
              <w:left w:type="dxa" w:w="90"/>
              <w:bottom w:type="dxa" w:w="50"/>
              <w:right w:type="dxa" w:w="90"/>
            </w:tcMar>
            <w:vAlign w:val="center"/>
          </w:tcPr>
          <w:p>
            <w:pPr>
              <w:spacing w:after="20"/>
              <w:jc w:val="left"/>
            </w:pPr>
            <w:r>
              <w:rPr>
                <w:sz w:val="18"/>
                <w:szCs w:val="18"/>
              </w:rPr>
              <w:t xml:space="preserve">Coeficientes o árboles con las filas de entrenamiento del pliegue</w:t>
            </w:r>
          </w:p>
        </w:tc>
      </w:tr>
    </w:tbl>
    <w:p>
      <w:pPr>
        <w:pStyle w:val="Heading2"/>
      </w:pPr>
      <w:r>
        <w:t xml:space="preserve">3.4 Validación cruzada con purga</w:t>
      </w:r>
    </w:p>
    <w:p>
      <w:pPr>
        <w:spacing w:after="120" w:line="276"/>
      </w:pPr>
      <w:r>
        <w:t xml:space="preserve">La validación cruzada divide el entrenamiento en bloques consecutivos de 6 meses (9 pliegues en el mercado y 5 en el laboratorio). Como las ventanas de 12 meses de meses vecinos comparten hasta 11 meses de datos, se elimina del entrenamiento un </w:t>
      </w:r>
      <w:r>
        <w:rPr>
          <w:b/>
          <w:bCs/>
        </w:rPr>
        <w:t xml:space="preserve">embargo</w:t>
      </w:r>
      <w:r>
        <w:t xml:space="preserve"> de 6 meses a cada lado del bloque evaluado (3 en el laboratorio, cuya historia es más corta). Los pliegues son los mismos para todos los modelos.</w:t>
      </w:r>
    </w:p>
    <w:p>
      <w:pPr>
        <w:keepNext/>
        <w:spacing w:after="40" w:before="80"/>
        <w:jc w:val="center"/>
      </w:pPr>
      <w:r>
        <w:drawing>
          <wp:inline distT="0" distB="0" distL="0" distR="0">
            <wp:extent cx="4191000" cy="2009775"/>
            <wp:effectExtent t="0" r="0" b="0" l="0"/>
            <wp:docPr id="1" name="f6_embargo.png" descr="f6_embargo.png" title="f6_embar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009775"/>
                    </a:xfrm>
                    <a:prstGeom prst="rect">
                      <a:avLst/>
                    </a:prstGeom>
                  </pic:spPr>
                </pic:pic>
              </a:graphicData>
            </a:graphic>
          </wp:inline>
        </w:drawing>
      </w:r>
    </w:p>
    <w:p>
      <w:pPr>
        <w:spacing w:after="200" w:before="60"/>
      </w:pPr>
      <w:r>
        <w:rPr>
          <w:i/>
          <w:iCs/>
          <w:color w:val="5E6E69"/>
          <w:sz w:val="18"/>
          <w:szCs w:val="18"/>
        </w:rPr>
        <w:t xml:space="preserve">Figura 2. Error fuera de pliegue del modelo final del mercado según el embargo. Sin purga el error parece 1,3 pp menor que con 11 meses de purga: ese es el optimismo que se evita.</w:t>
      </w:r>
    </w:p>
    <w:p>
      <w:pPr>
        <w:spacing w:after="120" w:line="276"/>
      </w:pPr>
      <w:r>
        <w:t xml:space="preserve">Como verificación adicional, se corrió una validación estratificada por clase con grupos por año en el mercado (4,6 pp, sin purga). En el laboratorio no es viable: solo hay tres años como grupos. La estratificación se usa como contraste, no como diseño principal, porque mezclar años distintos en entrenamiento y evaluación repite el problema de solapamiento.</w:t>
      </w:r>
    </w:p>
    <w:p>
      <w:pPr>
        <w:pStyle w:val="Heading2"/>
      </w:pPr>
      <w:r>
        <w:t xml:space="preserve">3.5 Desbalance de clases</w:t>
      </w:r>
    </w:p>
    <w:p>
      <w:pPr>
        <w:spacing w:after="120" w:line="276"/>
      </w:pPr>
      <w:r>
        <w:t xml:space="preserve">El desbalance aparece en los escenarios, no en la variable continua:</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3000"/>
        <w:gridCol w:w="3180"/>
        <w:gridCol w:w="3180"/>
      </w:tblGrid>
      <w:tr>
        <w:trPr>
          <w:cantSplit/>
          <w:tblHeader/>
        </w:trPr>
        <w:tc>
          <w:tcPr>
            <w:tcW w:type="dxa" w:w="3000"/>
            <w:shd w:fill="E4EEEB" w:color="auto" w:val="clear"/>
            <w:tcMar>
              <w:top w:type="dxa" w:w="50"/>
              <w:left w:type="dxa" w:w="90"/>
              <w:bottom w:type="dxa" w:w="50"/>
              <w:right w:type="dxa" w:w="90"/>
            </w:tcMar>
            <w:vAlign w:val="center"/>
          </w:tcPr>
          <w:p>
            <w:pPr>
              <w:spacing w:after="20"/>
              <w:jc w:val="left"/>
            </w:pPr>
            <w:r>
              <w:rPr>
                <w:b/>
                <w:bCs/>
                <w:sz w:val="18"/>
                <w:szCs w:val="18"/>
              </w:rPr>
              <w:t xml:space="preserve">Escenario</w:t>
            </w:r>
          </w:p>
        </w:tc>
        <w:tc>
          <w:tcPr>
            <w:tcW w:type="dxa" w:w="3180"/>
            <w:shd w:fill="E4EEEB" w:color="auto" w:val="clear"/>
            <w:tcMar>
              <w:top w:type="dxa" w:w="50"/>
              <w:left w:type="dxa" w:w="90"/>
              <w:bottom w:type="dxa" w:w="50"/>
              <w:right w:type="dxa" w:w="90"/>
            </w:tcMar>
            <w:vAlign w:val="center"/>
          </w:tcPr>
          <w:p>
            <w:pPr>
              <w:spacing w:after="20"/>
              <w:jc w:val="left"/>
            </w:pPr>
            <w:r>
              <w:rPr>
                <w:b/>
                <w:bCs/>
                <w:sz w:val="18"/>
                <w:szCs w:val="18"/>
              </w:rPr>
              <w:t xml:space="preserve">Mercado (n=196)</w:t>
            </w:r>
          </w:p>
        </w:tc>
        <w:tc>
          <w:tcPr>
            <w:tcW w:type="dxa" w:w="3180"/>
            <w:shd w:fill="E4EEEB" w:color="auto" w:val="clear"/>
            <w:tcMar>
              <w:top w:type="dxa" w:w="50"/>
              <w:left w:type="dxa" w:w="90"/>
              <w:bottom w:type="dxa" w:w="50"/>
              <w:right w:type="dxa" w:w="90"/>
            </w:tcMar>
            <w:vAlign w:val="center"/>
          </w:tcPr>
          <w:p>
            <w:pPr>
              <w:spacing w:after="20"/>
              <w:jc w:val="left"/>
            </w:pPr>
            <w:r>
              <w:rPr>
                <w:b/>
                <w:bCs/>
                <w:sz w:val="18"/>
                <w:szCs w:val="18"/>
              </w:rPr>
              <w:t xml:space="preserve">Laboratorio (n=100)</w:t>
            </w:r>
          </w:p>
        </w:tc>
      </w:tr>
      <w:tr>
        <w:trPr>
          <w:cantSplit/>
        </w:trPr>
        <w:tc>
          <w:tcPr>
            <w:tcW w:type="dxa" w:w="3000"/>
            <w:tcMar>
              <w:top w:type="dxa" w:w="50"/>
              <w:left w:type="dxa" w:w="90"/>
              <w:bottom w:type="dxa" w:w="50"/>
              <w:right w:type="dxa" w:w="90"/>
            </w:tcMar>
            <w:vAlign w:val="center"/>
          </w:tcPr>
          <w:p>
            <w:pPr>
              <w:spacing w:after="20"/>
              <w:jc w:val="left"/>
            </w:pPr>
            <w:r>
              <w:rPr>
                <w:sz w:val="18"/>
                <w:szCs w:val="18"/>
              </w:rPr>
              <w:t xml:space="preserve">regular</w:t>
            </w:r>
          </w:p>
        </w:tc>
        <w:tc>
          <w:tcPr>
            <w:tcW w:type="dxa" w:w="3180"/>
            <w:tcMar>
              <w:top w:type="dxa" w:w="50"/>
              <w:left w:type="dxa" w:w="90"/>
              <w:bottom w:type="dxa" w:w="50"/>
              <w:right w:type="dxa" w:w="90"/>
            </w:tcMar>
            <w:vAlign w:val="center"/>
          </w:tcPr>
          <w:p>
            <w:pPr>
              <w:spacing w:after="20"/>
              <w:jc w:val="left"/>
            </w:pPr>
            <w:r>
              <w:rPr>
                <w:sz w:val="18"/>
                <w:szCs w:val="18"/>
              </w:rPr>
              <w:t xml:space="preserve">9 (4,6%)</w:t>
            </w:r>
          </w:p>
        </w:tc>
        <w:tc>
          <w:tcPr>
            <w:tcW w:type="dxa" w:w="3180"/>
            <w:tcMar>
              <w:top w:type="dxa" w:w="50"/>
              <w:left w:type="dxa" w:w="90"/>
              <w:bottom w:type="dxa" w:w="50"/>
              <w:right w:type="dxa" w:w="90"/>
            </w:tcMar>
            <w:vAlign w:val="center"/>
          </w:tcPr>
          <w:p>
            <w:pPr>
              <w:spacing w:after="20"/>
              <w:jc w:val="left"/>
            </w:pPr>
            <w:r>
              <w:rPr>
                <w:sz w:val="18"/>
                <w:szCs w:val="18"/>
              </w:rPr>
              <w:t xml:space="preserve">32 (32,0%)</w:t>
            </w:r>
          </w:p>
        </w:tc>
      </w:tr>
      <w:tr>
        <w:trPr>
          <w:cantSplit/>
        </w:trPr>
        <w:tc>
          <w:tcPr>
            <w:tcW w:type="dxa" w:w="3000"/>
            <w:tcMar>
              <w:top w:type="dxa" w:w="50"/>
              <w:left w:type="dxa" w:w="90"/>
              <w:bottom w:type="dxa" w:w="50"/>
              <w:right w:type="dxa" w:w="90"/>
            </w:tcMar>
            <w:vAlign w:val="center"/>
          </w:tcPr>
          <w:p>
            <w:pPr>
              <w:spacing w:after="20"/>
              <w:jc w:val="left"/>
            </w:pPr>
            <w:r>
              <w:rPr>
                <w:sz w:val="18"/>
                <w:szCs w:val="18"/>
              </w:rPr>
              <w:t xml:space="preserve">estable</w:t>
            </w:r>
          </w:p>
        </w:tc>
        <w:tc>
          <w:tcPr>
            <w:tcW w:type="dxa" w:w="3180"/>
            <w:tcMar>
              <w:top w:type="dxa" w:w="50"/>
              <w:left w:type="dxa" w:w="90"/>
              <w:bottom w:type="dxa" w:w="50"/>
              <w:right w:type="dxa" w:w="90"/>
            </w:tcMar>
            <w:vAlign w:val="center"/>
          </w:tcPr>
          <w:p>
            <w:pPr>
              <w:spacing w:after="20"/>
              <w:jc w:val="left"/>
            </w:pPr>
            <w:r>
              <w:rPr>
                <w:sz w:val="18"/>
                <w:szCs w:val="18"/>
              </w:rPr>
              <w:t xml:space="preserve">95 (48,5%)</w:t>
            </w:r>
          </w:p>
        </w:tc>
        <w:tc>
          <w:tcPr>
            <w:tcW w:type="dxa" w:w="3180"/>
            <w:tcMar>
              <w:top w:type="dxa" w:w="50"/>
              <w:left w:type="dxa" w:w="90"/>
              <w:bottom w:type="dxa" w:w="50"/>
              <w:right w:type="dxa" w:w="90"/>
            </w:tcMar>
            <w:vAlign w:val="center"/>
          </w:tcPr>
          <w:p>
            <w:pPr>
              <w:spacing w:after="20"/>
              <w:jc w:val="left"/>
            </w:pPr>
            <w:r>
              <w:rPr>
                <w:sz w:val="18"/>
                <w:szCs w:val="18"/>
              </w:rPr>
              <w:t xml:space="preserve">18 (18,0%)</w:t>
            </w:r>
          </w:p>
        </w:tc>
      </w:tr>
      <w:tr>
        <w:trPr>
          <w:cantSplit/>
        </w:trPr>
        <w:tc>
          <w:tcPr>
            <w:tcW w:type="dxa" w:w="3000"/>
            <w:tcMar>
              <w:top w:type="dxa" w:w="50"/>
              <w:left w:type="dxa" w:w="90"/>
              <w:bottom w:type="dxa" w:w="50"/>
              <w:right w:type="dxa" w:w="90"/>
            </w:tcMar>
            <w:vAlign w:val="center"/>
          </w:tcPr>
          <w:p>
            <w:pPr>
              <w:spacing w:after="20"/>
              <w:jc w:val="left"/>
            </w:pPr>
            <w:r>
              <w:rPr>
                <w:sz w:val="18"/>
                <w:szCs w:val="18"/>
              </w:rPr>
              <w:t xml:space="preserve">optimista</w:t>
            </w:r>
          </w:p>
        </w:tc>
        <w:tc>
          <w:tcPr>
            <w:tcW w:type="dxa" w:w="3180"/>
            <w:tcMar>
              <w:top w:type="dxa" w:w="50"/>
              <w:left w:type="dxa" w:w="90"/>
              <w:bottom w:type="dxa" w:w="50"/>
              <w:right w:type="dxa" w:w="90"/>
            </w:tcMar>
            <w:vAlign w:val="center"/>
          </w:tcPr>
          <w:p>
            <w:pPr>
              <w:spacing w:after="20"/>
              <w:jc w:val="left"/>
            </w:pPr>
            <w:r>
              <w:rPr>
                <w:sz w:val="18"/>
                <w:szCs w:val="18"/>
              </w:rPr>
              <w:t xml:space="preserve">92 (46,9%)</w:t>
            </w:r>
          </w:p>
        </w:tc>
        <w:tc>
          <w:tcPr>
            <w:tcW w:type="dxa" w:w="3180"/>
            <w:tcMar>
              <w:top w:type="dxa" w:w="50"/>
              <w:left w:type="dxa" w:w="90"/>
              <w:bottom w:type="dxa" w:w="50"/>
              <w:right w:type="dxa" w:w="90"/>
            </w:tcMar>
            <w:vAlign w:val="center"/>
          </w:tcPr>
          <w:p>
            <w:pPr>
              <w:spacing w:after="20"/>
              <w:jc w:val="left"/>
            </w:pPr>
            <w:r>
              <w:rPr>
                <w:sz w:val="18"/>
                <w:szCs w:val="18"/>
              </w:rPr>
              <w:t xml:space="preserve">50 (50,0%)</w:t>
            </w:r>
          </w:p>
        </w:tc>
      </w:tr>
    </w:tbl>
    <w:p>
      <w:pPr>
        <w:spacing w:after="100"/>
      </w:pPr>
    </w:p>
    <w:p>
      <w:pPr>
        <w:spacing w:after="120" w:line="276"/>
      </w:pPr>
      <w:r>
        <w:rPr>
          <w:b/>
          <w:bCs/>
        </w:rPr>
        <w:t xml:space="preserve">Tratamiento:</w:t>
      </w:r>
      <w:r>
        <w:t xml:space="preserve"> solo en entrenamiento. Se probó ponderar cada muestra por la frecuencia inversa de su clase, calculada dentro de cada pliegue de entrenamiento (no se rellena ni se remuestrea el conjunto de evaluación). La ponderación se trató como un hiperparámetro más. Resultado en el mercado: con ponderación el MAE sube de 4,9 a 5,3 pp, el acierto de escenario baja de 59% a 43% y la detección de "regular" sigue en 0%. En el laboratorio es indiferente. El modelo final no usa ponderación.</w:t>
      </w:r>
    </w:p>
    <w:p>
      <w:pPr>
        <w:spacing w:after="120" w:line="276"/>
      </w:pPr>
      <w:r>
        <w:t xml:space="preserve">No se usó remuestreo sintético (por ejemplo SMOTE): con 9 observaciones "regular" en el mercado y filas solapadas en el tiempo, generaría observaciones artificiales casi idénticas entre sí y daría una falsa sensación de aprendizaje.</w:t>
      </w:r>
    </w:p>
    <w:p>
      <w:pPr>
        <w:pStyle w:val="Heading2"/>
      </w:pPr>
      <w:r>
        <w:t xml:space="preserve">3.6 Conjunto de prueba: una sola consulta</w:t>
      </w:r>
    </w:p>
    <w:p>
      <w:pPr>
        <w:spacing w:after="120" w:line="276"/>
      </w:pPr>
      <w:r>
        <w:t xml:space="preserve">La prueba se evaluó una única vez, después de registrar en el repositorio la selección del modelo (commit f30319a). El script bloquea una segunda consulta con un archivo de candado fechado 2026-10-21 02:42:17. Las líneas base y el modelo final se evaluaron en esa misma consulta.</w:t>
      </w:r>
    </w:p>
    <w:p>
      <w:pPr>
        <w:pBdr>
          <w:left w:val="single" w:color="0B5D4F" w:sz="24" w:space="8"/>
        </w:pBdr>
        <w:shd w:fill="FFF6E0" w:color="auto" w:val="clear"/>
        <w:spacing w:after="160" w:before="80" w:line="276"/>
        <w:ind w:left="160" w:right="80"/>
      </w:pPr>
      <w:r>
        <w:rPr>
          <w:b/>
          <w:bCs/>
        </w:rPr>
        <w:t xml:space="preserve">Limitación que debe conocerse.</w:t>
      </w:r>
      <w:r>
        <w:t xml:space="preserve"> Antes de este protocolo hubo una fase exploratoria en la que se compararon modelos y se vieron resultados de 2026, y la elección de variables y de la línea base se hizo con ese conocimiento. El protocolo formal aísla la selección del modelo de la prueba, pero la prueba no es completamente "virgen". Los resultados de prueba deben leerse con esa cautela, y la revalidación con julio a diciembre de 2026 será la prueba realmente nueva.</w:t>
      </w:r>
    </w:p>
    <w:p>
      <w:pPr>
        <w:pStyle w:val="Heading2"/>
      </w:pPr>
      <w:r>
        <w:t xml:space="preserve">3.7 Resumen: cómo se evitaron la fuga, el desbalance y el uso indebido de la prueba</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1800"/>
        <w:gridCol w:w="4200"/>
        <w:gridCol w:w="3360"/>
      </w:tblGrid>
      <w:tr>
        <w:trPr>
          <w:cantSplit/>
          <w:tblHeader/>
        </w:trPr>
        <w:tc>
          <w:tcPr>
            <w:tcW w:type="dxa" w:w="1800"/>
            <w:shd w:fill="E4EEEB" w:color="auto" w:val="clear"/>
            <w:tcMar>
              <w:top w:type="dxa" w:w="50"/>
              <w:left w:type="dxa" w:w="90"/>
              <w:bottom w:type="dxa" w:w="50"/>
              <w:right w:type="dxa" w:w="90"/>
            </w:tcMar>
            <w:vAlign w:val="center"/>
          </w:tcPr>
          <w:p>
            <w:pPr>
              <w:spacing w:after="20"/>
              <w:jc w:val="left"/>
            </w:pPr>
            <w:r>
              <w:rPr>
                <w:b/>
                <w:bCs/>
                <w:sz w:val="18"/>
                <w:szCs w:val="18"/>
              </w:rPr>
              <w:t xml:space="preserve">Riesgo</w:t>
            </w:r>
          </w:p>
        </w:tc>
        <w:tc>
          <w:tcPr>
            <w:tcW w:type="dxa" w:w="4200"/>
            <w:shd w:fill="E4EEEB" w:color="auto" w:val="clear"/>
            <w:tcMar>
              <w:top w:type="dxa" w:w="50"/>
              <w:left w:type="dxa" w:w="90"/>
              <w:bottom w:type="dxa" w:w="50"/>
              <w:right w:type="dxa" w:w="90"/>
            </w:tcMar>
            <w:vAlign w:val="center"/>
          </w:tcPr>
          <w:p>
            <w:pPr>
              <w:spacing w:after="20"/>
              <w:jc w:val="left"/>
            </w:pPr>
            <w:r>
              <w:rPr>
                <w:b/>
                <w:bCs/>
                <w:sz w:val="18"/>
                <w:szCs w:val="18"/>
              </w:rPr>
              <w:t xml:space="preserve">Qué se hizo</w:t>
            </w:r>
          </w:p>
        </w:tc>
        <w:tc>
          <w:tcPr>
            <w:tcW w:type="dxa" w:w="3360"/>
            <w:shd w:fill="E4EEEB" w:color="auto" w:val="clear"/>
            <w:tcMar>
              <w:top w:type="dxa" w:w="50"/>
              <w:left w:type="dxa" w:w="90"/>
              <w:bottom w:type="dxa" w:w="50"/>
              <w:right w:type="dxa" w:w="90"/>
            </w:tcMar>
            <w:vAlign w:val="center"/>
          </w:tcPr>
          <w:p>
            <w:pPr>
              <w:spacing w:after="20"/>
              <w:jc w:val="left"/>
            </w:pPr>
            <w:r>
              <w:rPr>
                <w:b/>
                <w:bCs/>
                <w:sz w:val="18"/>
                <w:szCs w:val="18"/>
              </w:rPr>
              <w:t xml:space="preserve">Justificación</w:t>
            </w:r>
          </w:p>
        </w:tc>
      </w:tr>
      <w:tr>
        <w:trPr>
          <w:cantSplit/>
        </w:trPr>
        <w:tc>
          <w:tcPr>
            <w:tcW w:type="dxa" w:w="1800"/>
            <w:tcMar>
              <w:top w:type="dxa" w:w="50"/>
              <w:left w:type="dxa" w:w="90"/>
              <w:bottom w:type="dxa" w:w="50"/>
              <w:right w:type="dxa" w:w="90"/>
            </w:tcMar>
            <w:vAlign w:val="center"/>
          </w:tcPr>
          <w:p>
            <w:pPr>
              <w:spacing w:after="20"/>
              <w:jc w:val="left"/>
            </w:pPr>
            <w:r>
              <w:rPr>
                <w:sz w:val="18"/>
                <w:szCs w:val="18"/>
              </w:rPr>
              <w:t xml:space="preserve">Fuga por escalamiento</w:t>
            </w:r>
          </w:p>
        </w:tc>
        <w:tc>
          <w:tcPr>
            <w:tcW w:type="dxa" w:w="4200"/>
            <w:tcMar>
              <w:top w:type="dxa" w:w="50"/>
              <w:left w:type="dxa" w:w="90"/>
              <w:bottom w:type="dxa" w:w="50"/>
              <w:right w:type="dxa" w:w="90"/>
            </w:tcMar>
            <w:vAlign w:val="center"/>
          </w:tcPr>
          <w:p>
            <w:pPr>
              <w:spacing w:after="20"/>
              <w:jc w:val="left"/>
            </w:pPr>
            <w:r>
              <w:rPr>
                <w:sz w:val="18"/>
                <w:szCs w:val="18"/>
              </w:rPr>
              <w:t xml:space="preserve">El StandardScaler está dentro del Pipeline y se ajusta en cada pliegue con su entrenamiento.</w:t>
            </w:r>
          </w:p>
        </w:tc>
        <w:tc>
          <w:tcPr>
            <w:tcW w:type="dxa" w:w="3360"/>
            <w:tcMar>
              <w:top w:type="dxa" w:w="50"/>
              <w:left w:type="dxa" w:w="90"/>
              <w:bottom w:type="dxa" w:w="50"/>
              <w:right w:type="dxa" w:w="90"/>
            </w:tcMar>
            <w:vAlign w:val="center"/>
          </w:tcPr>
          <w:p>
            <w:pPr>
              <w:spacing w:after="20"/>
              <w:jc w:val="left"/>
            </w:pPr>
            <w:r>
              <w:rPr>
                <w:sz w:val="18"/>
                <w:szCs w:val="18"/>
              </w:rPr>
              <w:t xml:space="preserve">Media y desviación calculadas con datos de evaluación filtrarían su información al modelo.</w:t>
            </w:r>
          </w:p>
        </w:tc>
      </w:tr>
      <w:tr>
        <w:trPr>
          <w:cantSplit/>
        </w:trPr>
        <w:tc>
          <w:tcPr>
            <w:tcW w:type="dxa" w:w="1800"/>
            <w:tcMar>
              <w:top w:type="dxa" w:w="50"/>
              <w:left w:type="dxa" w:w="90"/>
              <w:bottom w:type="dxa" w:w="50"/>
              <w:right w:type="dxa" w:w="90"/>
            </w:tcMar>
            <w:vAlign w:val="center"/>
          </w:tcPr>
          <w:p>
            <w:pPr>
              <w:spacing w:after="20"/>
              <w:jc w:val="left"/>
            </w:pPr>
            <w:r>
              <w:rPr>
                <w:sz w:val="18"/>
                <w:szCs w:val="18"/>
              </w:rPr>
              <w:t xml:space="preserve">Fuga temporal</w:t>
            </w:r>
          </w:p>
        </w:tc>
        <w:tc>
          <w:tcPr>
            <w:tcW w:type="dxa" w:w="4200"/>
            <w:tcMar>
              <w:top w:type="dxa" w:w="50"/>
              <w:left w:type="dxa" w:w="90"/>
              <w:bottom w:type="dxa" w:w="50"/>
              <w:right w:type="dxa" w:w="90"/>
            </w:tcMar>
            <w:vAlign w:val="center"/>
          </w:tcPr>
          <w:p>
            <w:pPr>
              <w:spacing w:after="20"/>
              <w:jc w:val="left"/>
            </w:pPr>
            <w:r>
              <w:rPr>
                <w:sz w:val="18"/>
                <w:szCs w:val="18"/>
              </w:rPr>
              <w:t xml:space="preserve">Partición cronológica; variables solo con información hasta t; bloques con embargo de 6 y 3 meses; meses completados (jul-dic 2026) excluidos del ajuste y la evaluación.</w:t>
            </w:r>
          </w:p>
        </w:tc>
        <w:tc>
          <w:tcPr>
            <w:tcW w:type="dxa" w:w="3360"/>
            <w:tcMar>
              <w:top w:type="dxa" w:w="50"/>
              <w:left w:type="dxa" w:w="90"/>
              <w:bottom w:type="dxa" w:w="50"/>
              <w:right w:type="dxa" w:w="90"/>
            </w:tcMar>
            <w:vAlign w:val="center"/>
          </w:tcPr>
          <w:p>
            <w:pPr>
              <w:spacing w:after="20"/>
              <w:jc w:val="left"/>
            </w:pPr>
            <w:r>
              <w:rPr>
                <w:sz w:val="18"/>
                <w:szCs w:val="18"/>
              </w:rPr>
              <w:t xml:space="preserve">Las ventanas de 12 meses se solapan; sin purga el error se subestima hasta 1,3 pp (Figura 2).</w:t>
            </w:r>
          </w:p>
        </w:tc>
      </w:tr>
      <w:tr>
        <w:trPr>
          <w:cantSplit/>
        </w:trPr>
        <w:tc>
          <w:tcPr>
            <w:tcW w:type="dxa" w:w="1800"/>
            <w:tcMar>
              <w:top w:type="dxa" w:w="50"/>
              <w:left w:type="dxa" w:w="90"/>
              <w:bottom w:type="dxa" w:w="50"/>
              <w:right w:type="dxa" w:w="90"/>
            </w:tcMar>
            <w:vAlign w:val="center"/>
          </w:tcPr>
          <w:p>
            <w:pPr>
              <w:spacing w:after="20"/>
              <w:jc w:val="left"/>
            </w:pPr>
            <w:r>
              <w:rPr>
                <w:sz w:val="18"/>
                <w:szCs w:val="18"/>
              </w:rPr>
              <w:t xml:space="preserve">Fuga por variables</w:t>
            </w:r>
          </w:p>
        </w:tc>
        <w:tc>
          <w:tcPr>
            <w:tcW w:type="dxa" w:w="4200"/>
            <w:tcMar>
              <w:top w:type="dxa" w:w="50"/>
              <w:left w:type="dxa" w:w="90"/>
              <w:bottom w:type="dxa" w:w="50"/>
              <w:right w:type="dxa" w:w="90"/>
            </w:tcMar>
            <w:vAlign w:val="center"/>
          </w:tcPr>
          <w:p>
            <w:pPr>
              <w:spacing w:after="20"/>
              <w:jc w:val="left"/>
            </w:pPr>
            <w:r>
              <w:rPr>
                <w:sz w:val="18"/>
                <w:szCs w:val="18"/>
              </w:rPr>
              <w:t xml:space="preserve">No se usan crecimientos calculados con datos futuros. En el laboratorio, el crecimiento del mercado entra observado en el entrenamiento y proyectado en la prueba.</w:t>
            </w:r>
          </w:p>
        </w:tc>
        <w:tc>
          <w:tcPr>
            <w:tcW w:type="dxa" w:w="3360"/>
            <w:tcMar>
              <w:top w:type="dxa" w:w="50"/>
              <w:left w:type="dxa" w:w="90"/>
              <w:bottom w:type="dxa" w:w="50"/>
              <w:right w:type="dxa" w:w="90"/>
            </w:tcMar>
            <w:vAlign w:val="center"/>
          </w:tcPr>
          <w:p>
            <w:pPr>
              <w:spacing w:after="20"/>
              <w:jc w:val="left"/>
            </w:pPr>
            <w:r>
              <w:rPr>
                <w:sz w:val="18"/>
                <w:szCs w:val="18"/>
              </w:rPr>
              <w:t xml:space="preserve">En 2027 solo habrá proyección del mercado; evaluar con el valor observado sería optimista.</w:t>
            </w:r>
          </w:p>
        </w:tc>
      </w:tr>
      <w:tr>
        <w:trPr>
          <w:cantSplit/>
        </w:trPr>
        <w:tc>
          <w:tcPr>
            <w:tcW w:type="dxa" w:w="1800"/>
            <w:tcMar>
              <w:top w:type="dxa" w:w="50"/>
              <w:left w:type="dxa" w:w="90"/>
              <w:bottom w:type="dxa" w:w="50"/>
              <w:right w:type="dxa" w:w="90"/>
            </w:tcMar>
            <w:vAlign w:val="center"/>
          </w:tcPr>
          <w:p>
            <w:pPr>
              <w:spacing w:after="20"/>
              <w:jc w:val="left"/>
            </w:pPr>
            <w:r>
              <w:rPr>
                <w:sz w:val="18"/>
                <w:szCs w:val="18"/>
              </w:rPr>
              <w:t xml:space="preserve">Desbalance</w:t>
            </w:r>
          </w:p>
        </w:tc>
        <w:tc>
          <w:tcPr>
            <w:tcW w:type="dxa" w:w="4200"/>
            <w:tcMar>
              <w:top w:type="dxa" w:w="50"/>
              <w:left w:type="dxa" w:w="90"/>
              <w:bottom w:type="dxa" w:w="50"/>
              <w:right w:type="dxa" w:w="90"/>
            </w:tcMar>
            <w:vAlign w:val="center"/>
          </w:tcPr>
          <w:p>
            <w:pPr>
              <w:spacing w:after="20"/>
              <w:jc w:val="left"/>
            </w:pPr>
            <w:r>
              <w:rPr>
                <w:sz w:val="18"/>
                <w:szCs w:val="18"/>
              </w:rPr>
              <w:t xml:space="preserve">Ponderación por clase solo dentro del entrenamiento de cada pliegue, tratada como hiperparámetro; sin remuestreo sintético.</w:t>
            </w:r>
          </w:p>
        </w:tc>
        <w:tc>
          <w:tcPr>
            <w:tcW w:type="dxa" w:w="3360"/>
            <w:tcMar>
              <w:top w:type="dxa" w:w="50"/>
              <w:left w:type="dxa" w:w="90"/>
              <w:bottom w:type="dxa" w:w="50"/>
              <w:right w:type="dxa" w:w="90"/>
            </w:tcMar>
            <w:vAlign w:val="center"/>
          </w:tcPr>
          <w:p>
            <w:pPr>
              <w:spacing w:after="20"/>
              <w:jc w:val="left"/>
            </w:pPr>
            <w:r>
              <w:rPr>
                <w:sz w:val="18"/>
                <w:szCs w:val="18"/>
              </w:rPr>
              <w:t xml:space="preserve">Evita modificar la distribución de evaluación y respeta que las clases raras son pocas y correlacionadas en el tiempo.</w:t>
            </w:r>
          </w:p>
        </w:tc>
      </w:tr>
      <w:tr>
        <w:trPr>
          <w:cantSplit/>
        </w:trPr>
        <w:tc>
          <w:tcPr>
            <w:tcW w:type="dxa" w:w="1800"/>
            <w:tcMar>
              <w:top w:type="dxa" w:w="50"/>
              <w:left w:type="dxa" w:w="90"/>
              <w:bottom w:type="dxa" w:w="50"/>
              <w:right w:type="dxa" w:w="90"/>
            </w:tcMar>
            <w:vAlign w:val="center"/>
          </w:tcPr>
          <w:p>
            <w:pPr>
              <w:spacing w:after="20"/>
              <w:jc w:val="left"/>
            </w:pPr>
            <w:r>
              <w:rPr>
                <w:sz w:val="18"/>
                <w:szCs w:val="18"/>
              </w:rPr>
              <w:t xml:space="preserve">Uso indebido de la prueba</w:t>
            </w:r>
          </w:p>
        </w:tc>
        <w:tc>
          <w:tcPr>
            <w:tcW w:type="dxa" w:w="4200"/>
            <w:tcMar>
              <w:top w:type="dxa" w:w="50"/>
              <w:left w:type="dxa" w:w="90"/>
              <w:bottom w:type="dxa" w:w="50"/>
              <w:right w:type="dxa" w:w="90"/>
            </w:tcMar>
            <w:vAlign w:val="center"/>
          </w:tcPr>
          <w:p>
            <w:pPr>
              <w:spacing w:after="20"/>
              <w:jc w:val="left"/>
            </w:pPr>
            <w:r>
              <w:rPr>
                <w:sz w:val="18"/>
                <w:szCs w:val="18"/>
              </w:rPr>
              <w:t xml:space="preserve">Selección por validación cruzada con criterio declarado de antemano; una sola consulta; candado en el script; selección registrada en el repositorio antes de consultar.</w:t>
            </w:r>
          </w:p>
        </w:tc>
        <w:tc>
          <w:tcPr>
            <w:tcW w:type="dxa" w:w="3360"/>
            <w:tcMar>
              <w:top w:type="dxa" w:w="50"/>
              <w:left w:type="dxa" w:w="90"/>
              <w:bottom w:type="dxa" w:w="50"/>
              <w:right w:type="dxa" w:w="90"/>
            </w:tcMar>
            <w:vAlign w:val="center"/>
          </w:tcPr>
          <w:p>
            <w:pPr>
              <w:spacing w:after="20"/>
              <w:jc w:val="left"/>
            </w:pPr>
            <w:r>
              <w:rPr>
                <w:sz w:val="18"/>
                <w:szCs w:val="18"/>
              </w:rPr>
              <w:t xml:space="preserve">Elegir el modelo con la prueba la convertiría en un conjunto de validación y haría optimista el resultado final.</w:t>
            </w:r>
          </w:p>
        </w:tc>
      </w:tr>
    </w:tbl>
    <w:p>
      <w:pPr>
        <w:pStyle w:val="Heading1"/>
        <w:spacing w:after="200" w:before="480"/>
      </w:pPr>
      <w:r>
        <w:t xml:space="preserve">4. Modelado</w:t>
      </w:r>
    </w:p>
    <w:p>
      <w:pPr>
        <w:pStyle w:val="Heading2"/>
      </w:pPr>
      <w:r>
        <w:t xml:space="preserve">4.1 Líneas base</w:t>
      </w:r>
    </w:p>
    <w:p>
      <w:pPr>
        <w:pStyle w:val="ListParagraph"/>
        <w:numPr>
          <w:ilvl w:val="0"/>
          <w:numId w:val="2"/>
        </w:numPr>
        <w:spacing w:after="60" w:line="264"/>
      </w:pPr>
      <w:r>
        <w:rPr>
          <w:b/>
          <w:bCs/>
        </w:rPr>
        <w:t xml:space="preserve">Base 1: crecimiento de hace 12 meses.</w:t>
      </w:r>
      <w:r>
        <w:t xml:space="preserve"> Predice que el crecimiento de 12 meses será igual al observado un año antes. Reproduce la práctica de planear con el crecimiento del año anterior.</w:t>
      </w:r>
    </w:p>
    <w:p>
      <w:pPr>
        <w:pStyle w:val="ListParagraph"/>
        <w:numPr>
          <w:ilvl w:val="0"/>
          <w:numId w:val="2"/>
        </w:numPr>
        <w:spacing w:after="60" w:line="264"/>
      </w:pPr>
      <w:r>
        <w:rPr>
          <w:b/>
          <w:bCs/>
        </w:rPr>
        <w:t xml:space="preserve">Base 2: promedio histórico de la especie.</w:t>
      </w:r>
      <w:r>
        <w:t xml:space="preserve"> Predice el crecimiento medio de la especie en el entrenamiento del pliegue. Es el punto de referencia de un modelo que no usa ninguna variable explicativa.</w:t>
      </w:r>
    </w:p>
    <w:p>
      <w:pPr>
        <w:pStyle w:val="Heading2"/>
      </w:pPr>
      <w:r>
        <w:t xml:space="preserve">4.2 Familias de modelos y búsqueda de hiperparámetros</w:t>
      </w:r>
    </w:p>
    <w:p>
      <w:pPr>
        <w:spacing w:after="120" w:line="276"/>
      </w:pPr>
      <w:r>
        <w:t xml:space="preserve">Se compararon cinco modelos de tres familias, con el mismo Pipeline, los mismos pliegues y la misma métrica (MAE), usando búsqueda en rejilla (GridSearchCV) con cada pliegue de la validación cruzada del entrenamiento.</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200"/>
        <w:gridCol w:w="3400"/>
        <w:gridCol w:w="3760"/>
      </w:tblGrid>
      <w:tr>
        <w:trPr>
          <w:cantSplit/>
          <w:tblHeader/>
        </w:trPr>
        <w:tc>
          <w:tcPr>
            <w:tcW w:type="dxa" w:w="2200"/>
            <w:shd w:fill="E4EEEB" w:color="auto" w:val="clear"/>
            <w:tcMar>
              <w:top w:type="dxa" w:w="50"/>
              <w:left w:type="dxa" w:w="90"/>
              <w:bottom w:type="dxa" w:w="50"/>
              <w:right w:type="dxa" w:w="90"/>
            </w:tcMar>
            <w:vAlign w:val="center"/>
          </w:tcPr>
          <w:p>
            <w:pPr>
              <w:spacing w:after="20"/>
              <w:jc w:val="left"/>
            </w:pPr>
            <w:r>
              <w:rPr>
                <w:b/>
                <w:bCs/>
                <w:sz w:val="18"/>
                <w:szCs w:val="18"/>
              </w:rPr>
              <w:t xml:space="preserve">Familia</w:t>
            </w:r>
          </w:p>
        </w:tc>
        <w:tc>
          <w:tcPr>
            <w:tcW w:type="dxa" w:w="3400"/>
            <w:shd w:fill="E4EEEB" w:color="auto" w:val="clear"/>
            <w:tcMar>
              <w:top w:type="dxa" w:w="50"/>
              <w:left w:type="dxa" w:w="90"/>
              <w:bottom w:type="dxa" w:w="50"/>
              <w:right w:type="dxa" w:w="90"/>
            </w:tcMar>
            <w:vAlign w:val="center"/>
          </w:tcPr>
          <w:p>
            <w:pPr>
              <w:spacing w:after="20"/>
              <w:jc w:val="left"/>
            </w:pPr>
            <w:r>
              <w:rPr>
                <w:b/>
                <w:bCs/>
                <w:sz w:val="18"/>
                <w:szCs w:val="18"/>
              </w:rPr>
              <w:t xml:space="preserve">Modelo</w:t>
            </w:r>
          </w:p>
        </w:tc>
        <w:tc>
          <w:tcPr>
            <w:tcW w:type="dxa" w:w="3760"/>
            <w:shd w:fill="E4EEEB" w:color="auto" w:val="clear"/>
            <w:tcMar>
              <w:top w:type="dxa" w:w="50"/>
              <w:left w:type="dxa" w:w="90"/>
              <w:bottom w:type="dxa" w:w="50"/>
              <w:right w:type="dxa" w:w="90"/>
            </w:tcMar>
            <w:vAlign w:val="center"/>
          </w:tcPr>
          <w:p>
            <w:pPr>
              <w:spacing w:after="20"/>
              <w:jc w:val="left"/>
            </w:pPr>
            <w:r>
              <w:rPr>
                <w:b/>
                <w:bCs/>
                <w:sz w:val="18"/>
                <w:szCs w:val="18"/>
              </w:rPr>
              <w:t xml:space="preserve">Hiperparámetros explorados</w:t>
            </w:r>
          </w:p>
        </w:tc>
      </w:tr>
      <w:tr>
        <w:trPr>
          <w:cantSplit/>
        </w:trPr>
        <w:tc>
          <w:tcPr>
            <w:tcW w:type="dxa" w:w="2200"/>
            <w:tcMar>
              <w:top w:type="dxa" w:w="50"/>
              <w:left w:type="dxa" w:w="90"/>
              <w:bottom w:type="dxa" w:w="50"/>
              <w:right w:type="dxa" w:w="90"/>
            </w:tcMar>
            <w:vAlign w:val="center"/>
          </w:tcPr>
          <w:p>
            <w:pPr>
              <w:spacing w:after="20"/>
              <w:jc w:val="left"/>
            </w:pPr>
            <w:r>
              <w:rPr>
                <w:sz w:val="18"/>
                <w:szCs w:val="18"/>
              </w:rPr>
              <w:t xml:space="preserve">Lineal regularizada</w:t>
            </w:r>
          </w:p>
        </w:tc>
        <w:tc>
          <w:tcPr>
            <w:tcW w:type="dxa" w:w="3400"/>
            <w:tcMar>
              <w:top w:type="dxa" w:w="50"/>
              <w:left w:type="dxa" w:w="90"/>
              <w:bottom w:type="dxa" w:w="50"/>
              <w:right w:type="dxa" w:w="90"/>
            </w:tcMar>
            <w:vAlign w:val="center"/>
          </w:tcPr>
          <w:p>
            <w:pPr>
              <w:spacing w:after="20"/>
              <w:jc w:val="left"/>
            </w:pPr>
            <w:r>
              <w:rPr>
                <w:sz w:val="18"/>
                <w:szCs w:val="18"/>
              </w:rPr>
              <w:t xml:space="preserve">Ridge por especie (un Ridge por especie)</w:t>
            </w:r>
          </w:p>
        </w:tc>
        <w:tc>
          <w:tcPr>
            <w:tcW w:type="dxa" w:w="3760"/>
            <w:tcMar>
              <w:top w:type="dxa" w:w="50"/>
              <w:left w:type="dxa" w:w="90"/>
              <w:bottom w:type="dxa" w:w="50"/>
              <w:right w:type="dxa" w:w="90"/>
            </w:tcMar>
            <w:vAlign w:val="center"/>
          </w:tcPr>
          <w:p>
            <w:pPr>
              <w:spacing w:after="20"/>
              <w:jc w:val="left"/>
            </w:pPr>
            <w:r>
              <w:rPr>
                <w:sz w:val="18"/>
                <w:szCs w:val="18"/>
              </w:rPr>
              <w:t xml:space="preserve">alpha ∈ {0,1; 1; 10; 100; 1.000}</w:t>
            </w:r>
          </w:p>
        </w:tc>
      </w:tr>
      <w:tr>
        <w:trPr>
          <w:cantSplit/>
        </w:trPr>
        <w:tc>
          <w:tcPr>
            <w:tcW w:type="dxa" w:w="2200"/>
            <w:tcMar>
              <w:top w:type="dxa" w:w="50"/>
              <w:left w:type="dxa" w:w="90"/>
              <w:bottom w:type="dxa" w:w="50"/>
              <w:right w:type="dxa" w:w="90"/>
            </w:tcMar>
            <w:vAlign w:val="center"/>
          </w:tcPr>
          <w:p>
            <w:pPr>
              <w:spacing w:after="20"/>
              <w:jc w:val="left"/>
            </w:pPr>
            <w:r>
              <w:rPr>
                <w:sz w:val="18"/>
                <w:szCs w:val="18"/>
              </w:rPr>
              <w:t xml:space="preserve">Lineal regularizada</w:t>
            </w:r>
          </w:p>
        </w:tc>
        <w:tc>
          <w:tcPr>
            <w:tcW w:type="dxa" w:w="3400"/>
            <w:tcMar>
              <w:top w:type="dxa" w:w="50"/>
              <w:left w:type="dxa" w:w="90"/>
              <w:bottom w:type="dxa" w:w="50"/>
              <w:right w:type="dxa" w:w="90"/>
            </w:tcMar>
            <w:vAlign w:val="center"/>
          </w:tcPr>
          <w:p>
            <w:pPr>
              <w:spacing w:after="20"/>
              <w:jc w:val="left"/>
            </w:pPr>
            <w:r>
              <w:rPr>
                <w:sz w:val="18"/>
                <w:szCs w:val="18"/>
              </w:rPr>
              <w:t xml:space="preserve">Ridge común (especie como variable)</w:t>
            </w:r>
          </w:p>
        </w:tc>
        <w:tc>
          <w:tcPr>
            <w:tcW w:type="dxa" w:w="3760"/>
            <w:tcMar>
              <w:top w:type="dxa" w:w="50"/>
              <w:left w:type="dxa" w:w="90"/>
              <w:bottom w:type="dxa" w:w="50"/>
              <w:right w:type="dxa" w:w="90"/>
            </w:tcMar>
            <w:vAlign w:val="center"/>
          </w:tcPr>
          <w:p>
            <w:pPr>
              <w:spacing w:after="20"/>
              <w:jc w:val="left"/>
            </w:pPr>
            <w:r>
              <w:rPr>
                <w:sz w:val="18"/>
                <w:szCs w:val="18"/>
              </w:rPr>
              <w:t xml:space="preserve">alpha ∈ {0,1; 1; 10; 100; 1.000}</w:t>
            </w:r>
          </w:p>
        </w:tc>
      </w:tr>
      <w:tr>
        <w:trPr>
          <w:cantSplit/>
        </w:trPr>
        <w:tc>
          <w:tcPr>
            <w:tcW w:type="dxa" w:w="2200"/>
            <w:tcMar>
              <w:top w:type="dxa" w:w="50"/>
              <w:left w:type="dxa" w:w="90"/>
              <w:bottom w:type="dxa" w:w="50"/>
              <w:right w:type="dxa" w:w="90"/>
            </w:tcMar>
            <w:vAlign w:val="center"/>
          </w:tcPr>
          <w:p>
            <w:pPr>
              <w:spacing w:after="20"/>
              <w:jc w:val="left"/>
            </w:pPr>
            <w:r>
              <w:rPr>
                <w:sz w:val="18"/>
                <w:szCs w:val="18"/>
              </w:rPr>
              <w:t xml:space="preserve">Lineal regularizada</w:t>
            </w:r>
          </w:p>
        </w:tc>
        <w:tc>
          <w:tcPr>
            <w:tcW w:type="dxa" w:w="3400"/>
            <w:tcMar>
              <w:top w:type="dxa" w:w="50"/>
              <w:left w:type="dxa" w:w="90"/>
              <w:bottom w:type="dxa" w:w="50"/>
              <w:right w:type="dxa" w:w="90"/>
            </w:tcMar>
            <w:vAlign w:val="center"/>
          </w:tcPr>
          <w:p>
            <w:pPr>
              <w:spacing w:after="20"/>
              <w:jc w:val="left"/>
            </w:pPr>
            <w:r>
              <w:rPr>
                <w:sz w:val="18"/>
                <w:szCs w:val="18"/>
              </w:rPr>
              <w:t xml:space="preserve">Elastic Net</w:t>
            </w:r>
          </w:p>
        </w:tc>
        <w:tc>
          <w:tcPr>
            <w:tcW w:type="dxa" w:w="3760"/>
            <w:tcMar>
              <w:top w:type="dxa" w:w="50"/>
              <w:left w:type="dxa" w:w="90"/>
              <w:bottom w:type="dxa" w:w="50"/>
              <w:right w:type="dxa" w:w="90"/>
            </w:tcMar>
            <w:vAlign w:val="center"/>
          </w:tcPr>
          <w:p>
            <w:pPr>
              <w:spacing w:after="20"/>
              <w:jc w:val="left"/>
            </w:pPr>
            <w:r>
              <w:rPr>
                <w:sz w:val="18"/>
                <w:szCs w:val="18"/>
              </w:rPr>
              <w:t xml:space="preserve">alpha ∈ {0,001; 0,01; 0,1}, l1_ratio ∈ {0,2; 0,5; 0,8}</w:t>
            </w:r>
          </w:p>
        </w:tc>
      </w:tr>
      <w:tr>
        <w:trPr>
          <w:cantSplit/>
        </w:trPr>
        <w:tc>
          <w:tcPr>
            <w:tcW w:type="dxa" w:w="2200"/>
            <w:tcMar>
              <w:top w:type="dxa" w:w="50"/>
              <w:left w:type="dxa" w:w="90"/>
              <w:bottom w:type="dxa" w:w="50"/>
              <w:right w:type="dxa" w:w="90"/>
            </w:tcMar>
            <w:vAlign w:val="center"/>
          </w:tcPr>
          <w:p>
            <w:pPr>
              <w:spacing w:after="20"/>
              <w:jc w:val="left"/>
            </w:pPr>
            <w:r>
              <w:rPr>
                <w:sz w:val="18"/>
                <w:szCs w:val="18"/>
              </w:rPr>
              <w:t xml:space="preserve">Agregación (bagging)</w:t>
            </w:r>
          </w:p>
        </w:tc>
        <w:tc>
          <w:tcPr>
            <w:tcW w:type="dxa" w:w="3400"/>
            <w:tcMar>
              <w:top w:type="dxa" w:w="50"/>
              <w:left w:type="dxa" w:w="90"/>
              <w:bottom w:type="dxa" w:w="50"/>
              <w:right w:type="dxa" w:w="90"/>
            </w:tcMar>
            <w:vAlign w:val="center"/>
          </w:tcPr>
          <w:p>
            <w:pPr>
              <w:spacing w:after="20"/>
              <w:jc w:val="left"/>
            </w:pPr>
            <w:r>
              <w:rPr>
                <w:sz w:val="18"/>
                <w:szCs w:val="18"/>
              </w:rPr>
              <w:t xml:space="preserve">Random Forest (300 árboles)</w:t>
            </w:r>
          </w:p>
        </w:tc>
        <w:tc>
          <w:tcPr>
            <w:tcW w:type="dxa" w:w="3760"/>
            <w:tcMar>
              <w:top w:type="dxa" w:w="50"/>
              <w:left w:type="dxa" w:w="90"/>
              <w:bottom w:type="dxa" w:w="50"/>
              <w:right w:type="dxa" w:w="90"/>
            </w:tcMar>
            <w:vAlign w:val="center"/>
          </w:tcPr>
          <w:p>
            <w:pPr>
              <w:spacing w:after="20"/>
              <w:jc w:val="left"/>
            </w:pPr>
            <w:r>
              <w:rPr>
                <w:sz w:val="18"/>
                <w:szCs w:val="18"/>
              </w:rPr>
              <w:t xml:space="preserve">profundidad ∈ {2; 3; 5}, hojas mínimas ∈ {3; 5; 10}</w:t>
            </w:r>
          </w:p>
        </w:tc>
      </w:tr>
      <w:tr>
        <w:trPr>
          <w:cantSplit/>
        </w:trPr>
        <w:tc>
          <w:tcPr>
            <w:tcW w:type="dxa" w:w="2200"/>
            <w:tcMar>
              <w:top w:type="dxa" w:w="50"/>
              <w:left w:type="dxa" w:w="90"/>
              <w:bottom w:type="dxa" w:w="50"/>
              <w:right w:type="dxa" w:w="90"/>
            </w:tcMar>
            <w:vAlign w:val="center"/>
          </w:tcPr>
          <w:p>
            <w:pPr>
              <w:spacing w:after="20"/>
              <w:jc w:val="left"/>
            </w:pPr>
            <w:r>
              <w:rPr>
                <w:sz w:val="18"/>
                <w:szCs w:val="18"/>
              </w:rPr>
              <w:t xml:space="preserve">Refuerzo (boosting)</w:t>
            </w:r>
          </w:p>
        </w:tc>
        <w:tc>
          <w:tcPr>
            <w:tcW w:type="dxa" w:w="3400"/>
            <w:tcMar>
              <w:top w:type="dxa" w:w="50"/>
              <w:left w:type="dxa" w:w="90"/>
              <w:bottom w:type="dxa" w:w="50"/>
              <w:right w:type="dxa" w:w="90"/>
            </w:tcMar>
            <w:vAlign w:val="center"/>
          </w:tcPr>
          <w:p>
            <w:pPr>
              <w:spacing w:after="20"/>
              <w:jc w:val="left"/>
            </w:pPr>
            <w:r>
              <w:rPr>
                <w:sz w:val="18"/>
                <w:szCs w:val="18"/>
              </w:rPr>
              <w:t xml:space="preserve">Gradient Boosting (100 árboles)</w:t>
            </w:r>
          </w:p>
        </w:tc>
        <w:tc>
          <w:tcPr>
            <w:tcW w:type="dxa" w:w="3760"/>
            <w:tcMar>
              <w:top w:type="dxa" w:w="50"/>
              <w:left w:type="dxa" w:w="90"/>
              <w:bottom w:type="dxa" w:w="50"/>
              <w:right w:type="dxa" w:w="90"/>
            </w:tcMar>
            <w:vAlign w:val="center"/>
          </w:tcPr>
          <w:p>
            <w:pPr>
              <w:spacing w:after="20"/>
              <w:jc w:val="left"/>
            </w:pPr>
            <w:r>
              <w:rPr>
                <w:sz w:val="18"/>
                <w:szCs w:val="18"/>
              </w:rPr>
              <w:t xml:space="preserve">profundidad ∈ {1; 2; 3}, hojas mínimas ∈ {3; 8}</w:t>
            </w:r>
          </w:p>
        </w:tc>
      </w:tr>
      <w:tr>
        <w:trPr>
          <w:cantSplit/>
        </w:trPr>
        <w:tc>
          <w:tcPr>
            <w:tcW w:type="dxa" w:w="2200"/>
            <w:tcMar>
              <w:top w:type="dxa" w:w="50"/>
              <w:left w:type="dxa" w:w="90"/>
              <w:bottom w:type="dxa" w:w="50"/>
              <w:right w:type="dxa" w:w="90"/>
            </w:tcMar>
            <w:vAlign w:val="center"/>
          </w:tcPr>
          <w:p>
            <w:pPr>
              <w:spacing w:after="20"/>
              <w:jc w:val="left"/>
            </w:pPr>
            <w:r>
              <w:rPr>
                <w:sz w:val="18"/>
                <w:szCs w:val="18"/>
              </w:rPr>
              <w:t xml:space="preserve">Todos</w:t>
            </w:r>
          </w:p>
        </w:tc>
        <w:tc>
          <w:tcPr>
            <w:tcW w:type="dxa" w:w="3400"/>
            <w:tcMar>
              <w:top w:type="dxa" w:w="50"/>
              <w:left w:type="dxa" w:w="90"/>
              <w:bottom w:type="dxa" w:w="50"/>
              <w:right w:type="dxa" w:w="90"/>
            </w:tcMar>
            <w:vAlign w:val="center"/>
          </w:tcPr>
          <w:p>
            <w:pPr>
              <w:spacing w:after="20"/>
              <w:jc w:val="left"/>
            </w:pPr>
            <w:r>
              <w:rPr>
                <w:sz w:val="18"/>
                <w:szCs w:val="18"/>
              </w:rPr>
              <w:t xml:space="preserve">Ponderación por clase</w:t>
            </w:r>
          </w:p>
        </w:tc>
        <w:tc>
          <w:tcPr>
            <w:tcW w:type="dxa" w:w="3760"/>
            <w:tcMar>
              <w:top w:type="dxa" w:w="50"/>
              <w:left w:type="dxa" w:w="90"/>
              <w:bottom w:type="dxa" w:w="50"/>
              <w:right w:type="dxa" w:w="90"/>
            </w:tcMar>
            <w:vAlign w:val="center"/>
          </w:tcPr>
          <w:p>
            <w:pPr>
              <w:spacing w:after="20"/>
              <w:jc w:val="left"/>
            </w:pPr>
            <w:r>
              <w:rPr>
                <w:sz w:val="18"/>
                <w:szCs w:val="18"/>
              </w:rPr>
              <w:t xml:space="preserve">{sí, no}</w:t>
            </w:r>
          </w:p>
        </w:tc>
      </w:tr>
    </w:tbl>
    <w:p>
      <w:pPr>
        <w:pStyle w:val="Heading2"/>
      </w:pPr>
      <w:r>
        <w:t xml:space="preserve">4.3 Criterio de selección declarado antes de ejecutar</w:t>
      </w:r>
    </w:p>
    <w:p>
      <w:pPr>
        <w:pStyle w:val="ListParagraph"/>
        <w:numPr>
          <w:ilvl w:val="0"/>
          <w:numId w:val="3"/>
        </w:numPr>
        <w:spacing w:after="60" w:line="264"/>
      </w:pPr>
      <w:r>
        <w:t xml:space="preserve">El mejor ajuste de cada modelo se define por el menor MAE medio de validación cruzada.</w:t>
      </w:r>
    </w:p>
    <w:p>
      <w:pPr>
        <w:pStyle w:val="ListParagraph"/>
        <w:numPr>
          <w:ilvl w:val="0"/>
          <w:numId w:val="3"/>
        </w:numPr>
        <w:spacing w:after="60" w:line="264"/>
      </w:pPr>
      <w:r>
        <w:t xml:space="preserve">Son elegibles los modelos cuyo MAE medio está a menos de un error estándar del mejor.</w:t>
      </w:r>
    </w:p>
    <w:p>
      <w:pPr>
        <w:pStyle w:val="ListParagraph"/>
        <w:numPr>
          <w:ilvl w:val="0"/>
          <w:numId w:val="3"/>
        </w:numPr>
        <w:spacing w:after="60" w:line="264"/>
      </w:pPr>
      <w:r>
        <w:t xml:space="preserve">Entre los elegibles se escoge el de menor complejidad: Ridge por especie, luego Ridge común y Elastic Net, luego Random Forest y por último Gradient Boosting. El simulador necesita efectos propios por especie y una respuesta suave.</w:t>
      </w:r>
    </w:p>
    <w:p>
      <w:pPr>
        <w:pStyle w:val="ListParagraph"/>
        <w:numPr>
          <w:ilvl w:val="0"/>
          <w:numId w:val="3"/>
        </w:numPr>
        <w:spacing w:after="60" w:line="264"/>
      </w:pPr>
      <w:r>
        <w:t xml:space="preserve">El modelo elegido debe superar las dos líneas base en validación cruzada. Si no lo hace, se declara que no agrega valor.</w:t>
      </w:r>
    </w:p>
    <w:p>
      <w:pPr>
        <w:spacing w:after="120" w:line="276"/>
      </w:pPr>
      <w:r>
        <w:t xml:space="preserve">La prueba de 2026 no interviene en ninguno de estos pasos.</w:t>
      </w:r>
    </w:p>
    <w:p>
      <w:pPr>
        <w:pStyle w:val="Heading2"/>
      </w:pPr>
      <w:r>
        <w:t xml:space="preserve">4.4 Resultados de validación cruzada</w:t>
      </w:r>
    </w:p>
    <w:p>
      <w:pPr>
        <w:keepNext/>
        <w:spacing w:after="60" w:before="160"/>
      </w:pPr>
      <w:r>
        <w:rPr>
          <w:b/>
          <w:bCs/>
          <w:color w:val="13201C"/>
          <w:sz w:val="19"/>
          <w:szCs w:val="19"/>
        </w:rPr>
        <w:t xml:space="preserve">Tabla 4. MAE de validación cruzada, mercado (9 pliegues; media ± desviación entre pliegues)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3300"/>
        <w:gridCol w:w="1700"/>
        <w:gridCol w:w="4360"/>
      </w:tblGrid>
      <w:tr>
        <w:trPr>
          <w:cantSplit/>
          <w:tblHeader/>
        </w:trPr>
        <w:tc>
          <w:tcPr>
            <w:tcW w:type="dxa" w:w="3300"/>
            <w:shd w:fill="E4EEEB" w:color="auto" w:val="clear"/>
            <w:tcMar>
              <w:top w:type="dxa" w:w="50"/>
              <w:left w:type="dxa" w:w="90"/>
              <w:bottom w:type="dxa" w:w="50"/>
              <w:right w:type="dxa" w:w="90"/>
            </w:tcMar>
            <w:vAlign w:val="center"/>
          </w:tcPr>
          <w:p>
            <w:pPr>
              <w:spacing w:after="20"/>
              <w:jc w:val="left"/>
            </w:pPr>
            <w:r>
              <w:rPr>
                <w:b/>
                <w:bCs/>
                <w:sz w:val="18"/>
                <w:szCs w:val="18"/>
              </w:rPr>
              <w:t xml:space="preserve">Modelo</w:t>
            </w:r>
          </w:p>
        </w:tc>
        <w:tc>
          <w:tcPr>
            <w:tcW w:type="dxa" w:w="1700"/>
            <w:shd w:fill="E4EEEB" w:color="auto" w:val="clear"/>
            <w:tcMar>
              <w:top w:type="dxa" w:w="50"/>
              <w:left w:type="dxa" w:w="90"/>
              <w:bottom w:type="dxa" w:w="50"/>
              <w:right w:type="dxa" w:w="90"/>
            </w:tcMar>
            <w:vAlign w:val="center"/>
          </w:tcPr>
          <w:p>
            <w:pPr>
              <w:spacing w:after="20"/>
              <w:jc w:val="right"/>
            </w:pPr>
            <w:r>
              <w:rPr>
                <w:b/>
                <w:bCs/>
                <w:sz w:val="18"/>
                <w:szCs w:val="18"/>
              </w:rPr>
              <w:t xml:space="preserve">MAE (pp)</w:t>
            </w:r>
          </w:p>
        </w:tc>
        <w:tc>
          <w:tcPr>
            <w:tcW w:type="dxa" w:w="4360"/>
            <w:shd w:fill="E4EEEB" w:color="auto" w:val="clear"/>
            <w:tcMar>
              <w:top w:type="dxa" w:w="50"/>
              <w:left w:type="dxa" w:w="90"/>
              <w:bottom w:type="dxa" w:w="50"/>
              <w:right w:type="dxa" w:w="90"/>
            </w:tcMar>
            <w:vAlign w:val="center"/>
          </w:tcPr>
          <w:p>
            <w:pPr>
              <w:spacing w:after="20"/>
              <w:jc w:val="left"/>
            </w:pPr>
            <w:r>
              <w:rPr>
                <w:b/>
                <w:bCs/>
                <w:sz w:val="18"/>
                <w:szCs w:val="18"/>
              </w:rPr>
              <w:t xml:space="preserve">Mejores hiperparámetros</w:t>
            </w:r>
          </w:p>
        </w:tc>
      </w:tr>
      <w:tr>
        <w:trPr>
          <w:cantSplit/>
        </w:trPr>
        <w:tc>
          <w:tcPr>
            <w:tcW w:type="dxa" w:w="3300"/>
            <w:tcMar>
              <w:top w:type="dxa" w:w="50"/>
              <w:left w:type="dxa" w:w="90"/>
              <w:bottom w:type="dxa" w:w="50"/>
              <w:right w:type="dxa" w:w="90"/>
            </w:tcMar>
            <w:vAlign w:val="center"/>
          </w:tcPr>
          <w:p>
            <w:pPr>
              <w:spacing w:after="20"/>
              <w:jc w:val="left"/>
            </w:pPr>
            <w:r>
              <w:rPr>
                <w:sz w:val="18"/>
                <w:szCs w:val="18"/>
              </w:rPr>
              <w:t xml:space="preserve">Ridge por especie</w:t>
            </w:r>
          </w:p>
        </w:tc>
        <w:tc>
          <w:tcPr>
            <w:tcW w:type="dxa" w:w="1700"/>
            <w:tcMar>
              <w:top w:type="dxa" w:w="50"/>
              <w:left w:type="dxa" w:w="90"/>
              <w:bottom w:type="dxa" w:w="50"/>
              <w:right w:type="dxa" w:w="90"/>
            </w:tcMar>
            <w:vAlign w:val="center"/>
          </w:tcPr>
          <w:p>
            <w:pPr>
              <w:spacing w:after="20"/>
              <w:jc w:val="right"/>
            </w:pPr>
            <w:r>
              <w:rPr>
                <w:sz w:val="18"/>
                <w:szCs w:val="18"/>
              </w:rPr>
              <w:t xml:space="preserve">4,9 ± 1,3</w:t>
            </w:r>
          </w:p>
        </w:tc>
        <w:tc>
          <w:tcPr>
            <w:tcW w:type="dxa" w:w="4360"/>
            <w:tcMar>
              <w:top w:type="dxa" w:w="50"/>
              <w:left w:type="dxa" w:w="90"/>
              <w:bottom w:type="dxa" w:w="50"/>
              <w:right w:type="dxa" w:w="90"/>
            </w:tcMar>
            <w:vAlign w:val="center"/>
          </w:tcPr>
          <w:p>
            <w:pPr>
              <w:spacing w:after="20"/>
              <w:jc w:val="left"/>
            </w:pPr>
            <w:r>
              <w:rPr>
                <w:sz w:val="18"/>
                <w:szCs w:val="18"/>
              </w:rPr>
              <w:t xml:space="preserve">alpha = 1000</w:t>
            </w:r>
          </w:p>
        </w:tc>
      </w:tr>
      <w:tr>
        <w:trPr>
          <w:cantSplit/>
        </w:trPr>
        <w:tc>
          <w:tcPr>
            <w:tcW w:type="dxa" w:w="3300"/>
            <w:tcMar>
              <w:top w:type="dxa" w:w="50"/>
              <w:left w:type="dxa" w:w="90"/>
              <w:bottom w:type="dxa" w:w="50"/>
              <w:right w:type="dxa" w:w="90"/>
            </w:tcMar>
            <w:vAlign w:val="center"/>
          </w:tcPr>
          <w:p>
            <w:pPr>
              <w:spacing w:after="20"/>
              <w:jc w:val="left"/>
            </w:pPr>
            <w:r>
              <w:rPr>
                <w:sz w:val="18"/>
                <w:szCs w:val="18"/>
              </w:rPr>
              <w:t xml:space="preserve">Ridge común</w:t>
            </w:r>
          </w:p>
        </w:tc>
        <w:tc>
          <w:tcPr>
            <w:tcW w:type="dxa" w:w="1700"/>
            <w:tcMar>
              <w:top w:type="dxa" w:w="50"/>
              <w:left w:type="dxa" w:w="90"/>
              <w:bottom w:type="dxa" w:w="50"/>
              <w:right w:type="dxa" w:w="90"/>
            </w:tcMar>
            <w:vAlign w:val="center"/>
          </w:tcPr>
          <w:p>
            <w:pPr>
              <w:spacing w:after="20"/>
              <w:jc w:val="right"/>
            </w:pPr>
            <w:r>
              <w:rPr>
                <w:sz w:val="18"/>
                <w:szCs w:val="18"/>
              </w:rPr>
              <w:t xml:space="preserve">4,5 ± 1,9</w:t>
            </w:r>
          </w:p>
        </w:tc>
        <w:tc>
          <w:tcPr>
            <w:tcW w:type="dxa" w:w="4360"/>
            <w:tcMar>
              <w:top w:type="dxa" w:w="50"/>
              <w:left w:type="dxa" w:w="90"/>
              <w:bottom w:type="dxa" w:w="50"/>
              <w:right w:type="dxa" w:w="90"/>
            </w:tcMar>
            <w:vAlign w:val="center"/>
          </w:tcPr>
          <w:p>
            <w:pPr>
              <w:spacing w:after="20"/>
              <w:jc w:val="left"/>
            </w:pPr>
            <w:r>
              <w:rPr>
                <w:sz w:val="18"/>
                <w:szCs w:val="18"/>
              </w:rPr>
              <w:t xml:space="preserve">alpha = 1000; con ponderación</w:t>
            </w:r>
          </w:p>
        </w:tc>
      </w:tr>
      <w:tr>
        <w:trPr>
          <w:cantSplit/>
        </w:trPr>
        <w:tc>
          <w:tcPr>
            <w:tcW w:type="dxa" w:w="3300"/>
            <w:tcMar>
              <w:top w:type="dxa" w:w="50"/>
              <w:left w:type="dxa" w:w="90"/>
              <w:bottom w:type="dxa" w:w="50"/>
              <w:right w:type="dxa" w:w="90"/>
            </w:tcMar>
            <w:vAlign w:val="center"/>
          </w:tcPr>
          <w:p>
            <w:pPr>
              <w:spacing w:after="20"/>
              <w:jc w:val="left"/>
            </w:pPr>
            <w:r>
              <w:rPr>
                <w:sz w:val="18"/>
                <w:szCs w:val="18"/>
              </w:rPr>
              <w:t xml:space="preserve">Elastic Net</w:t>
            </w:r>
          </w:p>
        </w:tc>
        <w:tc>
          <w:tcPr>
            <w:tcW w:type="dxa" w:w="1700"/>
            <w:tcMar>
              <w:top w:type="dxa" w:w="50"/>
              <w:left w:type="dxa" w:w="90"/>
              <w:bottom w:type="dxa" w:w="50"/>
              <w:right w:type="dxa" w:w="90"/>
            </w:tcMar>
            <w:vAlign w:val="center"/>
          </w:tcPr>
          <w:p>
            <w:pPr>
              <w:spacing w:after="20"/>
              <w:jc w:val="right"/>
            </w:pPr>
            <w:r>
              <w:rPr>
                <w:sz w:val="18"/>
                <w:szCs w:val="18"/>
              </w:rPr>
              <w:t xml:space="preserve">4,6 ± 1,7</w:t>
            </w:r>
          </w:p>
        </w:tc>
        <w:tc>
          <w:tcPr>
            <w:tcW w:type="dxa" w:w="4360"/>
            <w:tcMar>
              <w:top w:type="dxa" w:w="50"/>
              <w:left w:type="dxa" w:w="90"/>
              <w:bottom w:type="dxa" w:w="50"/>
              <w:right w:type="dxa" w:w="90"/>
            </w:tcMar>
            <w:vAlign w:val="center"/>
          </w:tcPr>
          <w:p>
            <w:pPr>
              <w:spacing w:after="20"/>
              <w:jc w:val="left"/>
            </w:pPr>
            <w:r>
              <w:rPr>
                <w:sz w:val="18"/>
                <w:szCs w:val="18"/>
              </w:rPr>
              <w:t xml:space="preserve">alpha = 0,1; l1_ratio = 0,2</w:t>
            </w:r>
          </w:p>
        </w:tc>
      </w:tr>
      <w:tr>
        <w:trPr>
          <w:cantSplit/>
        </w:trPr>
        <w:tc>
          <w:tcPr>
            <w:tcW w:type="dxa" w:w="3300"/>
            <w:tcMar>
              <w:top w:type="dxa" w:w="50"/>
              <w:left w:type="dxa" w:w="90"/>
              <w:bottom w:type="dxa" w:w="50"/>
              <w:right w:type="dxa" w:w="90"/>
            </w:tcMar>
            <w:vAlign w:val="center"/>
          </w:tcPr>
          <w:p>
            <w:pPr>
              <w:spacing w:after="20"/>
              <w:jc w:val="left"/>
            </w:pPr>
            <w:r>
              <w:rPr>
                <w:sz w:val="18"/>
                <w:szCs w:val="18"/>
              </w:rPr>
              <w:t xml:space="preserve">Random Forest</w:t>
            </w:r>
          </w:p>
        </w:tc>
        <w:tc>
          <w:tcPr>
            <w:tcW w:type="dxa" w:w="1700"/>
            <w:tcMar>
              <w:top w:type="dxa" w:w="50"/>
              <w:left w:type="dxa" w:w="90"/>
              <w:bottom w:type="dxa" w:w="50"/>
              <w:right w:type="dxa" w:w="90"/>
            </w:tcMar>
            <w:vAlign w:val="center"/>
          </w:tcPr>
          <w:p>
            <w:pPr>
              <w:spacing w:after="20"/>
              <w:jc w:val="right"/>
            </w:pPr>
            <w:r>
              <w:rPr>
                <w:sz w:val="18"/>
                <w:szCs w:val="18"/>
              </w:rPr>
              <w:t xml:space="preserve">4,7 ± 1,3</w:t>
            </w:r>
          </w:p>
        </w:tc>
        <w:tc>
          <w:tcPr>
            <w:tcW w:type="dxa" w:w="4360"/>
            <w:tcMar>
              <w:top w:type="dxa" w:w="50"/>
              <w:left w:type="dxa" w:w="90"/>
              <w:bottom w:type="dxa" w:w="50"/>
              <w:right w:type="dxa" w:w="90"/>
            </w:tcMar>
            <w:vAlign w:val="center"/>
          </w:tcPr>
          <w:p>
            <w:pPr>
              <w:spacing w:after="20"/>
              <w:jc w:val="left"/>
            </w:pPr>
            <w:r>
              <w:rPr>
                <w:sz w:val="18"/>
                <w:szCs w:val="18"/>
              </w:rPr>
              <w:t xml:space="preserve">max_depth = 5; min_samples_leaf = 10</w:t>
            </w:r>
          </w:p>
        </w:tc>
      </w:tr>
      <w:tr>
        <w:trPr>
          <w:cantSplit/>
        </w:trPr>
        <w:tc>
          <w:tcPr>
            <w:tcW w:type="dxa" w:w="3300"/>
            <w:tcMar>
              <w:top w:type="dxa" w:w="50"/>
              <w:left w:type="dxa" w:w="90"/>
              <w:bottom w:type="dxa" w:w="50"/>
              <w:right w:type="dxa" w:w="90"/>
            </w:tcMar>
            <w:vAlign w:val="center"/>
          </w:tcPr>
          <w:p>
            <w:pPr>
              <w:spacing w:after="20"/>
              <w:jc w:val="left"/>
            </w:pPr>
            <w:r>
              <w:rPr>
                <w:sz w:val="18"/>
                <w:szCs w:val="18"/>
              </w:rPr>
              <w:t xml:space="preserve">Gradient Boosting</w:t>
            </w:r>
          </w:p>
        </w:tc>
        <w:tc>
          <w:tcPr>
            <w:tcW w:type="dxa" w:w="1700"/>
            <w:tcMar>
              <w:top w:type="dxa" w:w="50"/>
              <w:left w:type="dxa" w:w="90"/>
              <w:bottom w:type="dxa" w:w="50"/>
              <w:right w:type="dxa" w:w="90"/>
            </w:tcMar>
            <w:vAlign w:val="center"/>
          </w:tcPr>
          <w:p>
            <w:pPr>
              <w:spacing w:after="20"/>
              <w:jc w:val="right"/>
            </w:pPr>
            <w:r>
              <w:rPr>
                <w:sz w:val="18"/>
                <w:szCs w:val="18"/>
              </w:rPr>
              <w:t xml:space="preserve">4,6 ± 1,3</w:t>
            </w:r>
          </w:p>
        </w:tc>
        <w:tc>
          <w:tcPr>
            <w:tcW w:type="dxa" w:w="4360"/>
            <w:tcMar>
              <w:top w:type="dxa" w:w="50"/>
              <w:left w:type="dxa" w:w="90"/>
              <w:bottom w:type="dxa" w:w="50"/>
              <w:right w:type="dxa" w:w="90"/>
            </w:tcMar>
            <w:vAlign w:val="center"/>
          </w:tcPr>
          <w:p>
            <w:pPr>
              <w:spacing w:after="20"/>
              <w:jc w:val="left"/>
            </w:pPr>
            <w:r>
              <w:rPr>
                <w:sz w:val="18"/>
                <w:szCs w:val="18"/>
              </w:rPr>
              <w:t xml:space="preserve">max_depth = 2; min_samples_leaf = 8; con ponderación</w:t>
            </w:r>
          </w:p>
        </w:tc>
      </w:tr>
      <w:tr>
        <w:trPr>
          <w:cantSplit/>
        </w:trPr>
        <w:tc>
          <w:tcPr>
            <w:tcW w:type="dxa" w:w="3300"/>
            <w:tcMar>
              <w:top w:type="dxa" w:w="50"/>
              <w:left w:type="dxa" w:w="90"/>
              <w:bottom w:type="dxa" w:w="50"/>
              <w:right w:type="dxa" w:w="90"/>
            </w:tcMar>
            <w:vAlign w:val="center"/>
          </w:tcPr>
          <w:p>
            <w:pPr>
              <w:spacing w:after="20"/>
              <w:jc w:val="left"/>
            </w:pPr>
            <w:r>
              <w:rPr>
                <w:sz w:val="18"/>
                <w:szCs w:val="18"/>
              </w:rPr>
              <w:t xml:space="preserve">Base 2: promedio histórico de la especie</w:t>
            </w:r>
          </w:p>
        </w:tc>
        <w:tc>
          <w:tcPr>
            <w:tcW w:type="dxa" w:w="1700"/>
            <w:tcMar>
              <w:top w:type="dxa" w:w="50"/>
              <w:left w:type="dxa" w:w="90"/>
              <w:bottom w:type="dxa" w:w="50"/>
              <w:right w:type="dxa" w:w="90"/>
            </w:tcMar>
            <w:vAlign w:val="center"/>
          </w:tcPr>
          <w:p>
            <w:pPr>
              <w:spacing w:after="20"/>
              <w:jc w:val="right"/>
            </w:pPr>
            <w:r>
              <w:rPr>
                <w:sz w:val="18"/>
                <w:szCs w:val="18"/>
              </w:rPr>
              <w:t xml:space="preserve">5,1 ± 1,4</w:t>
            </w:r>
          </w:p>
        </w:tc>
        <w:tc>
          <w:tcPr>
            <w:tcW w:type="dxa" w:w="4360"/>
            <w:tcMar>
              <w:top w:type="dxa" w:w="50"/>
              <w:left w:type="dxa" w:w="90"/>
              <w:bottom w:type="dxa" w:w="50"/>
              <w:right w:type="dxa" w:w="90"/>
            </w:tcMar>
            <w:vAlign w:val="center"/>
          </w:tcPr>
          <w:p>
            <w:pPr>
              <w:spacing w:after="20"/>
              <w:jc w:val="left"/>
            </w:pPr>
            <w:r>
              <w:rPr>
                <w:sz w:val="18"/>
                <w:szCs w:val="18"/>
              </w:rPr>
              <w:t xml:space="preserve">–</w:t>
            </w:r>
          </w:p>
        </w:tc>
      </w:tr>
      <w:tr>
        <w:trPr>
          <w:cantSplit/>
        </w:trPr>
        <w:tc>
          <w:tcPr>
            <w:tcW w:type="dxa" w:w="3300"/>
            <w:tcMar>
              <w:top w:type="dxa" w:w="50"/>
              <w:left w:type="dxa" w:w="90"/>
              <w:bottom w:type="dxa" w:w="50"/>
              <w:right w:type="dxa" w:w="90"/>
            </w:tcMar>
            <w:vAlign w:val="center"/>
          </w:tcPr>
          <w:p>
            <w:pPr>
              <w:spacing w:after="20"/>
              <w:jc w:val="left"/>
            </w:pPr>
            <w:r>
              <w:rPr>
                <w:sz w:val="18"/>
                <w:szCs w:val="18"/>
              </w:rPr>
              <w:t xml:space="preserve">Base 1: crecimiento de hace 12 meses</w:t>
            </w:r>
          </w:p>
        </w:tc>
        <w:tc>
          <w:tcPr>
            <w:tcW w:type="dxa" w:w="1700"/>
            <w:tcMar>
              <w:top w:type="dxa" w:w="50"/>
              <w:left w:type="dxa" w:w="90"/>
              <w:bottom w:type="dxa" w:w="50"/>
              <w:right w:type="dxa" w:w="90"/>
            </w:tcMar>
            <w:vAlign w:val="center"/>
          </w:tcPr>
          <w:p>
            <w:pPr>
              <w:spacing w:after="20"/>
              <w:jc w:val="right"/>
            </w:pPr>
            <w:r>
              <w:rPr>
                <w:sz w:val="18"/>
                <w:szCs w:val="18"/>
              </w:rPr>
              <w:t xml:space="preserve">5,7 ± 1,6</w:t>
            </w:r>
          </w:p>
        </w:tc>
        <w:tc>
          <w:tcPr>
            <w:tcW w:type="dxa" w:w="4360"/>
            <w:tcMar>
              <w:top w:type="dxa" w:w="50"/>
              <w:left w:type="dxa" w:w="90"/>
              <w:bottom w:type="dxa" w:w="50"/>
              <w:right w:type="dxa" w:w="90"/>
            </w:tcMar>
            <w:vAlign w:val="center"/>
          </w:tcPr>
          <w:p>
            <w:pPr>
              <w:spacing w:after="20"/>
              <w:jc w:val="left"/>
            </w:pPr>
            <w:r>
              <w:rPr>
                <w:sz w:val="18"/>
                <w:szCs w:val="18"/>
              </w:rPr>
              <w:t xml:space="preserve">–</w:t>
            </w:r>
          </w:p>
        </w:tc>
      </w:tr>
    </w:tbl>
    <w:p>
      <w:pPr>
        <w:keepNext/>
        <w:spacing w:after="60" w:before="160"/>
      </w:pPr>
      <w:r>
        <w:rPr>
          <w:b/>
          <w:bCs/>
          <w:color w:val="13201C"/>
          <w:sz w:val="19"/>
          <w:szCs w:val="19"/>
        </w:rPr>
        <w:t xml:space="preserve">Tabla 5. MAE de validación cruzada, laboratorio (5 pliegues)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3300"/>
        <w:gridCol w:w="1700"/>
        <w:gridCol w:w="4360"/>
      </w:tblGrid>
      <w:tr>
        <w:trPr>
          <w:cantSplit/>
          <w:tblHeader/>
        </w:trPr>
        <w:tc>
          <w:tcPr>
            <w:tcW w:type="dxa" w:w="3300"/>
            <w:shd w:fill="E4EEEB" w:color="auto" w:val="clear"/>
            <w:tcMar>
              <w:top w:type="dxa" w:w="50"/>
              <w:left w:type="dxa" w:w="90"/>
              <w:bottom w:type="dxa" w:w="50"/>
              <w:right w:type="dxa" w:w="90"/>
            </w:tcMar>
            <w:vAlign w:val="center"/>
          </w:tcPr>
          <w:p>
            <w:pPr>
              <w:spacing w:after="20"/>
              <w:jc w:val="left"/>
            </w:pPr>
            <w:r>
              <w:rPr>
                <w:b/>
                <w:bCs/>
                <w:sz w:val="18"/>
                <w:szCs w:val="18"/>
              </w:rPr>
              <w:t xml:space="preserve">Modelo</w:t>
            </w:r>
          </w:p>
        </w:tc>
        <w:tc>
          <w:tcPr>
            <w:tcW w:type="dxa" w:w="1700"/>
            <w:shd w:fill="E4EEEB" w:color="auto" w:val="clear"/>
            <w:tcMar>
              <w:top w:type="dxa" w:w="50"/>
              <w:left w:type="dxa" w:w="90"/>
              <w:bottom w:type="dxa" w:w="50"/>
              <w:right w:type="dxa" w:w="90"/>
            </w:tcMar>
            <w:vAlign w:val="center"/>
          </w:tcPr>
          <w:p>
            <w:pPr>
              <w:spacing w:after="20"/>
              <w:jc w:val="right"/>
            </w:pPr>
            <w:r>
              <w:rPr>
                <w:b/>
                <w:bCs/>
                <w:sz w:val="18"/>
                <w:szCs w:val="18"/>
              </w:rPr>
              <w:t xml:space="preserve">MAE (pp)</w:t>
            </w:r>
          </w:p>
        </w:tc>
        <w:tc>
          <w:tcPr>
            <w:tcW w:type="dxa" w:w="4360"/>
            <w:shd w:fill="E4EEEB" w:color="auto" w:val="clear"/>
            <w:tcMar>
              <w:top w:type="dxa" w:w="50"/>
              <w:left w:type="dxa" w:w="90"/>
              <w:bottom w:type="dxa" w:w="50"/>
              <w:right w:type="dxa" w:w="90"/>
            </w:tcMar>
            <w:vAlign w:val="center"/>
          </w:tcPr>
          <w:p>
            <w:pPr>
              <w:spacing w:after="20"/>
              <w:jc w:val="left"/>
            </w:pPr>
            <w:r>
              <w:rPr>
                <w:b/>
                <w:bCs/>
                <w:sz w:val="18"/>
                <w:szCs w:val="18"/>
              </w:rPr>
              <w:t xml:space="preserve">Mejores hiperparámetros</w:t>
            </w:r>
          </w:p>
        </w:tc>
      </w:tr>
      <w:tr>
        <w:trPr>
          <w:cantSplit/>
        </w:trPr>
        <w:tc>
          <w:tcPr>
            <w:tcW w:type="dxa" w:w="3300"/>
            <w:tcMar>
              <w:top w:type="dxa" w:w="50"/>
              <w:left w:type="dxa" w:w="90"/>
              <w:bottom w:type="dxa" w:w="50"/>
              <w:right w:type="dxa" w:w="90"/>
            </w:tcMar>
            <w:vAlign w:val="center"/>
          </w:tcPr>
          <w:p>
            <w:pPr>
              <w:spacing w:after="20"/>
              <w:jc w:val="left"/>
            </w:pPr>
            <w:r>
              <w:rPr>
                <w:sz w:val="18"/>
                <w:szCs w:val="18"/>
              </w:rPr>
              <w:t xml:space="preserve">Ridge por especie</w:t>
            </w:r>
          </w:p>
        </w:tc>
        <w:tc>
          <w:tcPr>
            <w:tcW w:type="dxa" w:w="1700"/>
            <w:tcMar>
              <w:top w:type="dxa" w:w="50"/>
              <w:left w:type="dxa" w:w="90"/>
              <w:bottom w:type="dxa" w:w="50"/>
              <w:right w:type="dxa" w:w="90"/>
            </w:tcMar>
            <w:vAlign w:val="center"/>
          </w:tcPr>
          <w:p>
            <w:pPr>
              <w:spacing w:after="20"/>
              <w:jc w:val="right"/>
            </w:pPr>
            <w:r>
              <w:rPr>
                <w:sz w:val="18"/>
                <w:szCs w:val="18"/>
              </w:rPr>
              <w:t xml:space="preserve">5,3 ± 1,6</w:t>
            </w:r>
          </w:p>
        </w:tc>
        <w:tc>
          <w:tcPr>
            <w:tcW w:type="dxa" w:w="4360"/>
            <w:tcMar>
              <w:top w:type="dxa" w:w="50"/>
              <w:left w:type="dxa" w:w="90"/>
              <w:bottom w:type="dxa" w:w="50"/>
              <w:right w:type="dxa" w:w="90"/>
            </w:tcMar>
            <w:vAlign w:val="center"/>
          </w:tcPr>
          <w:p>
            <w:pPr>
              <w:spacing w:after="20"/>
              <w:jc w:val="left"/>
            </w:pPr>
            <w:r>
              <w:rPr>
                <w:sz w:val="18"/>
                <w:szCs w:val="18"/>
              </w:rPr>
              <w:t xml:space="preserve">alpha = 100</w:t>
            </w:r>
          </w:p>
        </w:tc>
      </w:tr>
      <w:tr>
        <w:trPr>
          <w:cantSplit/>
        </w:trPr>
        <w:tc>
          <w:tcPr>
            <w:tcW w:type="dxa" w:w="3300"/>
            <w:tcMar>
              <w:top w:type="dxa" w:w="50"/>
              <w:left w:type="dxa" w:w="90"/>
              <w:bottom w:type="dxa" w:w="50"/>
              <w:right w:type="dxa" w:w="90"/>
            </w:tcMar>
            <w:vAlign w:val="center"/>
          </w:tcPr>
          <w:p>
            <w:pPr>
              <w:spacing w:after="20"/>
              <w:jc w:val="left"/>
            </w:pPr>
            <w:r>
              <w:rPr>
                <w:sz w:val="18"/>
                <w:szCs w:val="18"/>
              </w:rPr>
              <w:t xml:space="preserve">Ridge común</w:t>
            </w:r>
          </w:p>
        </w:tc>
        <w:tc>
          <w:tcPr>
            <w:tcW w:type="dxa" w:w="1700"/>
            <w:tcMar>
              <w:top w:type="dxa" w:w="50"/>
              <w:left w:type="dxa" w:w="90"/>
              <w:bottom w:type="dxa" w:w="50"/>
              <w:right w:type="dxa" w:w="90"/>
            </w:tcMar>
            <w:vAlign w:val="center"/>
          </w:tcPr>
          <w:p>
            <w:pPr>
              <w:spacing w:after="20"/>
              <w:jc w:val="right"/>
            </w:pPr>
            <w:r>
              <w:rPr>
                <w:sz w:val="18"/>
                <w:szCs w:val="18"/>
              </w:rPr>
              <w:t xml:space="preserve">6,1 ± 2,6</w:t>
            </w:r>
          </w:p>
        </w:tc>
        <w:tc>
          <w:tcPr>
            <w:tcW w:type="dxa" w:w="4360"/>
            <w:tcMar>
              <w:top w:type="dxa" w:w="50"/>
              <w:left w:type="dxa" w:w="90"/>
              <w:bottom w:type="dxa" w:w="50"/>
              <w:right w:type="dxa" w:w="90"/>
            </w:tcMar>
            <w:vAlign w:val="center"/>
          </w:tcPr>
          <w:p>
            <w:pPr>
              <w:spacing w:after="20"/>
              <w:jc w:val="left"/>
            </w:pPr>
            <w:r>
              <w:rPr>
                <w:sz w:val="18"/>
                <w:szCs w:val="18"/>
              </w:rPr>
              <w:t xml:space="preserve">alpha = 1</w:t>
            </w:r>
          </w:p>
        </w:tc>
      </w:tr>
      <w:tr>
        <w:trPr>
          <w:cantSplit/>
        </w:trPr>
        <w:tc>
          <w:tcPr>
            <w:tcW w:type="dxa" w:w="3300"/>
            <w:tcMar>
              <w:top w:type="dxa" w:w="50"/>
              <w:left w:type="dxa" w:w="90"/>
              <w:bottom w:type="dxa" w:w="50"/>
              <w:right w:type="dxa" w:w="90"/>
            </w:tcMar>
            <w:vAlign w:val="center"/>
          </w:tcPr>
          <w:p>
            <w:pPr>
              <w:spacing w:after="20"/>
              <w:jc w:val="left"/>
            </w:pPr>
            <w:r>
              <w:rPr>
                <w:sz w:val="18"/>
                <w:szCs w:val="18"/>
              </w:rPr>
              <w:t xml:space="preserve">Elastic Net</w:t>
            </w:r>
          </w:p>
        </w:tc>
        <w:tc>
          <w:tcPr>
            <w:tcW w:type="dxa" w:w="1700"/>
            <w:tcMar>
              <w:top w:type="dxa" w:w="50"/>
              <w:left w:type="dxa" w:w="90"/>
              <w:bottom w:type="dxa" w:w="50"/>
              <w:right w:type="dxa" w:w="90"/>
            </w:tcMar>
            <w:vAlign w:val="center"/>
          </w:tcPr>
          <w:p>
            <w:pPr>
              <w:spacing w:after="20"/>
              <w:jc w:val="right"/>
            </w:pPr>
            <w:r>
              <w:rPr>
                <w:sz w:val="18"/>
                <w:szCs w:val="18"/>
              </w:rPr>
              <w:t xml:space="preserve">5,7 ± 2,7</w:t>
            </w:r>
          </w:p>
        </w:tc>
        <w:tc>
          <w:tcPr>
            <w:tcW w:type="dxa" w:w="4360"/>
            <w:tcMar>
              <w:top w:type="dxa" w:w="50"/>
              <w:left w:type="dxa" w:w="90"/>
              <w:bottom w:type="dxa" w:w="50"/>
              <w:right w:type="dxa" w:w="90"/>
            </w:tcMar>
            <w:vAlign w:val="center"/>
          </w:tcPr>
          <w:p>
            <w:pPr>
              <w:spacing w:after="20"/>
              <w:jc w:val="left"/>
            </w:pPr>
            <w:r>
              <w:rPr>
                <w:sz w:val="18"/>
                <w:szCs w:val="18"/>
              </w:rPr>
              <w:t xml:space="preserve">alpha = 0,001; l1_ratio = 0,8</w:t>
            </w:r>
          </w:p>
        </w:tc>
      </w:tr>
      <w:tr>
        <w:trPr>
          <w:cantSplit/>
        </w:trPr>
        <w:tc>
          <w:tcPr>
            <w:tcW w:type="dxa" w:w="3300"/>
            <w:tcMar>
              <w:top w:type="dxa" w:w="50"/>
              <w:left w:type="dxa" w:w="90"/>
              <w:bottom w:type="dxa" w:w="50"/>
              <w:right w:type="dxa" w:w="90"/>
            </w:tcMar>
            <w:vAlign w:val="center"/>
          </w:tcPr>
          <w:p>
            <w:pPr>
              <w:spacing w:after="20"/>
              <w:jc w:val="left"/>
            </w:pPr>
            <w:r>
              <w:rPr>
                <w:sz w:val="18"/>
                <w:szCs w:val="18"/>
              </w:rPr>
              <w:t xml:space="preserve">Random Forest</w:t>
            </w:r>
          </w:p>
        </w:tc>
        <w:tc>
          <w:tcPr>
            <w:tcW w:type="dxa" w:w="1700"/>
            <w:tcMar>
              <w:top w:type="dxa" w:w="50"/>
              <w:left w:type="dxa" w:w="90"/>
              <w:bottom w:type="dxa" w:w="50"/>
              <w:right w:type="dxa" w:w="90"/>
            </w:tcMar>
            <w:vAlign w:val="center"/>
          </w:tcPr>
          <w:p>
            <w:pPr>
              <w:spacing w:after="20"/>
              <w:jc w:val="right"/>
            </w:pPr>
            <w:r>
              <w:rPr>
                <w:sz w:val="18"/>
                <w:szCs w:val="18"/>
              </w:rPr>
              <w:t xml:space="preserve">5,2 ± 1,4</w:t>
            </w:r>
          </w:p>
        </w:tc>
        <w:tc>
          <w:tcPr>
            <w:tcW w:type="dxa" w:w="4360"/>
            <w:tcMar>
              <w:top w:type="dxa" w:w="50"/>
              <w:left w:type="dxa" w:w="90"/>
              <w:bottom w:type="dxa" w:w="50"/>
              <w:right w:type="dxa" w:w="90"/>
            </w:tcMar>
            <w:vAlign w:val="center"/>
          </w:tcPr>
          <w:p>
            <w:pPr>
              <w:spacing w:after="20"/>
              <w:jc w:val="left"/>
            </w:pPr>
            <w:r>
              <w:rPr>
                <w:sz w:val="18"/>
                <w:szCs w:val="18"/>
              </w:rPr>
              <w:t xml:space="preserve">max_depth = 5; min_samples_leaf = 3</w:t>
            </w:r>
          </w:p>
        </w:tc>
      </w:tr>
      <w:tr>
        <w:trPr>
          <w:cantSplit/>
        </w:trPr>
        <w:tc>
          <w:tcPr>
            <w:tcW w:type="dxa" w:w="3300"/>
            <w:tcMar>
              <w:top w:type="dxa" w:w="50"/>
              <w:left w:type="dxa" w:w="90"/>
              <w:bottom w:type="dxa" w:w="50"/>
              <w:right w:type="dxa" w:w="90"/>
            </w:tcMar>
            <w:vAlign w:val="center"/>
          </w:tcPr>
          <w:p>
            <w:pPr>
              <w:spacing w:after="20"/>
              <w:jc w:val="left"/>
            </w:pPr>
            <w:r>
              <w:rPr>
                <w:sz w:val="18"/>
                <w:szCs w:val="18"/>
              </w:rPr>
              <w:t xml:space="preserve">Gradient Boosting</w:t>
            </w:r>
          </w:p>
        </w:tc>
        <w:tc>
          <w:tcPr>
            <w:tcW w:type="dxa" w:w="1700"/>
            <w:tcMar>
              <w:top w:type="dxa" w:w="50"/>
              <w:left w:type="dxa" w:w="90"/>
              <w:bottom w:type="dxa" w:w="50"/>
              <w:right w:type="dxa" w:w="90"/>
            </w:tcMar>
            <w:vAlign w:val="center"/>
          </w:tcPr>
          <w:p>
            <w:pPr>
              <w:spacing w:after="20"/>
              <w:jc w:val="right"/>
            </w:pPr>
            <w:r>
              <w:rPr>
                <w:sz w:val="18"/>
                <w:szCs w:val="18"/>
              </w:rPr>
              <w:t xml:space="preserve">5,3 ± 1,4</w:t>
            </w:r>
          </w:p>
        </w:tc>
        <w:tc>
          <w:tcPr>
            <w:tcW w:type="dxa" w:w="4360"/>
            <w:tcMar>
              <w:top w:type="dxa" w:w="50"/>
              <w:left w:type="dxa" w:w="90"/>
              <w:bottom w:type="dxa" w:w="50"/>
              <w:right w:type="dxa" w:w="90"/>
            </w:tcMar>
            <w:vAlign w:val="center"/>
          </w:tcPr>
          <w:p>
            <w:pPr>
              <w:spacing w:after="20"/>
              <w:jc w:val="left"/>
            </w:pPr>
            <w:r>
              <w:rPr>
                <w:sz w:val="18"/>
                <w:szCs w:val="18"/>
              </w:rPr>
              <w:t xml:space="preserve">max_depth = 3; min_samples_leaf = 3</w:t>
            </w:r>
          </w:p>
        </w:tc>
      </w:tr>
      <w:tr>
        <w:trPr>
          <w:cantSplit/>
        </w:trPr>
        <w:tc>
          <w:tcPr>
            <w:tcW w:type="dxa" w:w="3300"/>
            <w:tcMar>
              <w:top w:type="dxa" w:w="50"/>
              <w:left w:type="dxa" w:w="90"/>
              <w:bottom w:type="dxa" w:w="50"/>
              <w:right w:type="dxa" w:w="90"/>
            </w:tcMar>
            <w:vAlign w:val="center"/>
          </w:tcPr>
          <w:p>
            <w:pPr>
              <w:spacing w:after="20"/>
              <w:jc w:val="left"/>
            </w:pPr>
            <w:r>
              <w:rPr>
                <w:sz w:val="18"/>
                <w:szCs w:val="18"/>
              </w:rPr>
              <w:t xml:space="preserve">Base 2: promedio histórico de la especie</w:t>
            </w:r>
          </w:p>
        </w:tc>
        <w:tc>
          <w:tcPr>
            <w:tcW w:type="dxa" w:w="1700"/>
            <w:tcMar>
              <w:top w:type="dxa" w:w="50"/>
              <w:left w:type="dxa" w:w="90"/>
              <w:bottom w:type="dxa" w:w="50"/>
              <w:right w:type="dxa" w:w="90"/>
            </w:tcMar>
            <w:vAlign w:val="center"/>
          </w:tcPr>
          <w:p>
            <w:pPr>
              <w:spacing w:after="20"/>
              <w:jc w:val="right"/>
            </w:pPr>
            <w:r>
              <w:rPr>
                <w:sz w:val="18"/>
                <w:szCs w:val="18"/>
              </w:rPr>
              <w:t xml:space="preserve">6,1 ± 1,1</w:t>
            </w:r>
          </w:p>
        </w:tc>
        <w:tc>
          <w:tcPr>
            <w:tcW w:type="dxa" w:w="4360"/>
            <w:tcMar>
              <w:top w:type="dxa" w:w="50"/>
              <w:left w:type="dxa" w:w="90"/>
              <w:bottom w:type="dxa" w:w="50"/>
              <w:right w:type="dxa" w:w="90"/>
            </w:tcMar>
            <w:vAlign w:val="center"/>
          </w:tcPr>
          <w:p>
            <w:pPr>
              <w:spacing w:after="20"/>
              <w:jc w:val="left"/>
            </w:pPr>
            <w:r>
              <w:rPr>
                <w:sz w:val="18"/>
                <w:szCs w:val="18"/>
              </w:rPr>
              <w:t xml:space="preserve">–</w:t>
            </w:r>
          </w:p>
        </w:tc>
      </w:tr>
      <w:tr>
        <w:trPr>
          <w:cantSplit/>
        </w:trPr>
        <w:tc>
          <w:tcPr>
            <w:tcW w:type="dxa" w:w="3300"/>
            <w:tcMar>
              <w:top w:type="dxa" w:w="50"/>
              <w:left w:type="dxa" w:w="90"/>
              <w:bottom w:type="dxa" w:w="50"/>
              <w:right w:type="dxa" w:w="90"/>
            </w:tcMar>
            <w:vAlign w:val="center"/>
          </w:tcPr>
          <w:p>
            <w:pPr>
              <w:spacing w:after="20"/>
              <w:jc w:val="left"/>
            </w:pPr>
            <w:r>
              <w:rPr>
                <w:sz w:val="18"/>
                <w:szCs w:val="18"/>
              </w:rPr>
              <w:t xml:space="preserve">Base 1: crecimiento de hace 12 meses</w:t>
            </w:r>
          </w:p>
        </w:tc>
        <w:tc>
          <w:tcPr>
            <w:tcW w:type="dxa" w:w="1700"/>
            <w:tcMar>
              <w:top w:type="dxa" w:w="50"/>
              <w:left w:type="dxa" w:w="90"/>
              <w:bottom w:type="dxa" w:w="50"/>
              <w:right w:type="dxa" w:w="90"/>
            </w:tcMar>
            <w:vAlign w:val="center"/>
          </w:tcPr>
          <w:p>
            <w:pPr>
              <w:spacing w:after="20"/>
              <w:jc w:val="right"/>
            </w:pPr>
            <w:r>
              <w:rPr>
                <w:sz w:val="18"/>
                <w:szCs w:val="18"/>
              </w:rPr>
              <w:t xml:space="preserve">7,9 ± 0,7</w:t>
            </w:r>
          </w:p>
        </w:tc>
        <w:tc>
          <w:tcPr>
            <w:tcW w:type="dxa" w:w="4360"/>
            <w:tcMar>
              <w:top w:type="dxa" w:w="50"/>
              <w:left w:type="dxa" w:w="90"/>
              <w:bottom w:type="dxa" w:w="50"/>
              <w:right w:type="dxa" w:w="90"/>
            </w:tcMar>
            <w:vAlign w:val="center"/>
          </w:tcPr>
          <w:p>
            <w:pPr>
              <w:spacing w:after="20"/>
              <w:jc w:val="left"/>
            </w:pPr>
            <w:r>
              <w:rPr>
                <w:sz w:val="18"/>
                <w:szCs w:val="18"/>
              </w:rPr>
              <w:t xml:space="preserve">–</w:t>
            </w:r>
          </w:p>
        </w:tc>
      </w:tr>
    </w:tbl>
    <w:p>
      <w:pPr>
        <w:spacing w:after="200" w:before="60"/>
      </w:pPr>
      <w:r>
        <w:rPr>
          <w:i/>
          <w:iCs/>
          <w:color w:val="5E6E69"/>
          <w:sz w:val="18"/>
          <w:szCs w:val="18"/>
        </w:rPr>
        <w:t xml:space="preserve">La base 1 solo puede evaluarse donde existe el crecimiento de hace 12 meses. En esas mismas filas, el MAE del mercado es de 5,8 pp para la base 1 y de 4,6 pp para el modelo final.</w:t>
      </w:r>
    </w:p>
    <w:p>
      <w:pPr>
        <w:keepNext/>
        <w:spacing w:after="40" w:before="80"/>
        <w:jc w:val="center"/>
      </w:pPr>
      <w:r>
        <w:drawing>
          <wp:inline distT="0" distB="0" distL="0" distR="0">
            <wp:extent cx="5715000" cy="2352675"/>
            <wp:effectExtent t="0" r="0" b="0" l="0"/>
            <wp:docPr id="1" name="f2_cv.png" descr="f2_cv.png" title="f2_c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52675"/>
                    </a:xfrm>
                    <a:prstGeom prst="rect">
                      <a:avLst/>
                    </a:prstGeom>
                  </pic:spPr>
                </pic:pic>
              </a:graphicData>
            </a:graphic>
          </wp:inline>
        </w:drawing>
      </w:r>
    </w:p>
    <w:p>
      <w:pPr>
        <w:spacing w:after="200" w:before="60"/>
      </w:pPr>
      <w:r>
        <w:rPr>
          <w:i/>
          <w:iCs/>
          <w:color w:val="5E6E69"/>
          <w:sz w:val="18"/>
          <w:szCs w:val="18"/>
        </w:rPr>
        <w:t xml:space="preserve">Figura 3. MAE de validación cruzada por modelo. Las barras de error son la desviación estándar entre pliegues.</w:t>
      </w:r>
    </w:p>
    <w:p>
      <w:pPr>
        <w:pStyle w:val="Heading2"/>
      </w:pPr>
      <w:r>
        <w:t xml:space="preserve">4.5 Modelo final y lectura honesta de los resultados</w:t>
      </w:r>
    </w:p>
    <w:p>
      <w:pPr>
        <w:pBdr>
          <w:left w:val="single" w:color="0B5D4F" w:sz="24" w:space="8"/>
        </w:pBdr>
        <w:shd w:fill="EEF5F3" w:color="auto" w:val="clear"/>
        <w:spacing w:after="160" w:before="80" w:line="276"/>
        <w:ind w:left="160" w:right="80"/>
      </w:pPr>
      <w:r>
        <w:rPr>
          <w:b/>
          <w:bCs/>
        </w:rPr>
        <w:t xml:space="preserve">Modelo final: Ridge por especie.</w:t>
      </w:r>
      <w:r>
        <w:t xml:space="preserve"> Mercado: alpha = 1000, sin ponderación. Laboratorio: alpha = 100, sin ponderación. En ambos casos los cinco modelos quedaron dentro de un error estándar del mejor, por lo que la regla de menor complejidad eligió el Ridge por especie.</w:t>
      </w:r>
    </w:p>
    <w:p>
      <w:pPr>
        <w:pStyle w:val="ListParagraph"/>
        <w:numPr>
          <w:ilvl w:val="0"/>
          <w:numId w:val="2"/>
        </w:numPr>
        <w:spacing w:after="60" w:line="264"/>
      </w:pPr>
      <w:r>
        <w:rPr>
          <w:b/>
          <w:bCs/>
        </w:rPr>
        <w:t xml:space="preserve">Las diferencias entre modelos no son concluyentes.</w:t>
      </w:r>
      <w:r>
        <w:t xml:space="preserve"> En el mercado el mejor MAE medio es 4,5 pp (Ridge común) y el elegido tiene 4,9 pp; la desviación entre pliegues es de 1,3 a 1,9 pp, mayor que esas diferencias.</w:t>
      </w:r>
    </w:p>
    <w:p>
      <w:pPr>
        <w:pStyle w:val="ListParagraph"/>
        <w:numPr>
          <w:ilvl w:val="0"/>
          <w:numId w:val="2"/>
        </w:numPr>
        <w:spacing w:after="60" w:line="264"/>
      </w:pPr>
      <w:r>
        <w:rPr>
          <w:b/>
          <w:bCs/>
        </w:rPr>
        <w:t xml:space="preserve">El mercado casi no mejora al promedio por especie.</w:t>
      </w:r>
      <w:r>
        <w:t xml:space="preserve"> El modelo final tiene 4,9 pp frente a 5,1 pp de la base 2. Con alpha = 1000, el extremo superior de la rejilla, el modelo se acerca al promedio de cada especie con ajustes pequeños. Esto es coherente con la poca historia y se discute en la Sección 5.4.</w:t>
      </w:r>
    </w:p>
    <w:p>
      <w:pPr>
        <w:pStyle w:val="ListParagraph"/>
        <w:numPr>
          <w:ilvl w:val="0"/>
          <w:numId w:val="2"/>
        </w:numPr>
        <w:spacing w:after="60" w:line="264"/>
      </w:pPr>
      <w:r>
        <w:rPr>
          <w:b/>
          <w:bCs/>
        </w:rPr>
        <w:t xml:space="preserve">En el laboratorio la mejora es mayor.</w:t>
      </w:r>
      <w:r>
        <w:t xml:space="preserve"> 5,3 pp frente a 6,1 pp (base 2) y 7,9 pp (base 1).</w:t>
      </w:r>
    </w:p>
    <w:p>
      <w:pPr>
        <w:pStyle w:val="ListParagraph"/>
        <w:numPr>
          <w:ilvl w:val="0"/>
          <w:numId w:val="2"/>
        </w:numPr>
        <w:spacing w:after="60" w:line="264"/>
      </w:pPr>
      <w:r>
        <w:rPr>
          <w:b/>
          <w:bCs/>
        </w:rPr>
        <w:t xml:space="preserve">Los modelos de árboles no fueron mejores</w:t>
      </w:r>
      <w:r>
        <w:t xml:space="preserve"> pese a poder capturar relaciones no lineales, y su respuesta a cambios en las variables es a saltos. Se mantuvieron como comparación.</w:t>
      </w:r>
    </w:p>
    <w:p>
      <w:pPr>
        <w:pStyle w:val="Heading1"/>
        <w:spacing w:after="200" w:before="480"/>
      </w:pPr>
      <w:r>
        <w:t xml:space="preserve">5. Evaluación</w:t>
      </w:r>
    </w:p>
    <w:p>
      <w:pPr>
        <w:pStyle w:val="Heading2"/>
      </w:pPr>
      <w:r>
        <w:t xml:space="preserve">5.1 Métricas según el costo del error</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300"/>
        <w:gridCol w:w="3600"/>
        <w:gridCol w:w="3460"/>
      </w:tblGrid>
      <w:tr>
        <w:trPr>
          <w:cantSplit/>
          <w:tblHeader/>
        </w:trPr>
        <w:tc>
          <w:tcPr>
            <w:tcW w:type="dxa" w:w="2300"/>
            <w:shd w:fill="E4EEEB" w:color="auto" w:val="clear"/>
            <w:tcMar>
              <w:top w:type="dxa" w:w="50"/>
              <w:left w:type="dxa" w:w="90"/>
              <w:bottom w:type="dxa" w:w="50"/>
              <w:right w:type="dxa" w:w="90"/>
            </w:tcMar>
            <w:vAlign w:val="center"/>
          </w:tcPr>
          <w:p>
            <w:pPr>
              <w:spacing w:after="20"/>
              <w:jc w:val="left"/>
            </w:pPr>
            <w:r>
              <w:rPr>
                <w:b/>
                <w:bCs/>
                <w:sz w:val="18"/>
                <w:szCs w:val="18"/>
              </w:rPr>
              <w:t xml:space="preserve">Métrica</w:t>
            </w:r>
          </w:p>
        </w:tc>
        <w:tc>
          <w:tcPr>
            <w:tcW w:type="dxa" w:w="3600"/>
            <w:shd w:fill="E4EEEB" w:color="auto" w:val="clear"/>
            <w:tcMar>
              <w:top w:type="dxa" w:w="50"/>
              <w:left w:type="dxa" w:w="90"/>
              <w:bottom w:type="dxa" w:w="50"/>
              <w:right w:type="dxa" w:w="90"/>
            </w:tcMar>
            <w:vAlign w:val="center"/>
          </w:tcPr>
          <w:p>
            <w:pPr>
              <w:spacing w:after="20"/>
              <w:jc w:val="left"/>
            </w:pPr>
            <w:r>
              <w:rPr>
                <w:b/>
                <w:bCs/>
                <w:sz w:val="18"/>
                <w:szCs w:val="18"/>
              </w:rPr>
              <w:t xml:space="preserve">Qué mide</w:t>
            </w:r>
          </w:p>
        </w:tc>
        <w:tc>
          <w:tcPr>
            <w:tcW w:type="dxa" w:w="3460"/>
            <w:shd w:fill="E4EEEB" w:color="auto" w:val="clear"/>
            <w:tcMar>
              <w:top w:type="dxa" w:w="50"/>
              <w:left w:type="dxa" w:w="90"/>
              <w:bottom w:type="dxa" w:w="50"/>
              <w:right w:type="dxa" w:w="90"/>
            </w:tcMar>
            <w:vAlign w:val="center"/>
          </w:tcPr>
          <w:p>
            <w:pPr>
              <w:spacing w:after="20"/>
              <w:jc w:val="left"/>
            </w:pPr>
            <w:r>
              <w:rPr>
                <w:b/>
                <w:bCs/>
                <w:sz w:val="18"/>
                <w:szCs w:val="18"/>
              </w:rPr>
              <w:t xml:space="preserve">Por qué se eligió</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MAE (pp)</w:t>
            </w:r>
          </w:p>
        </w:tc>
        <w:tc>
          <w:tcPr>
            <w:tcW w:type="dxa" w:w="3600"/>
            <w:tcMar>
              <w:top w:type="dxa" w:w="50"/>
              <w:left w:type="dxa" w:w="90"/>
              <w:bottom w:type="dxa" w:w="50"/>
              <w:right w:type="dxa" w:w="90"/>
            </w:tcMar>
            <w:vAlign w:val="center"/>
          </w:tcPr>
          <w:p>
            <w:pPr>
              <w:spacing w:after="20"/>
              <w:jc w:val="left"/>
            </w:pPr>
            <w:r>
              <w:rPr>
                <w:b w:val="false"/>
                <w:bCs w:val="false"/>
                <w:sz w:val="18"/>
                <w:szCs w:val="18"/>
              </w:rPr>
              <w:t xml:space="preserve">Error medio absoluto del crecimiento, en puntos porcentuales.</w:t>
            </w:r>
          </w:p>
        </w:tc>
        <w:tc>
          <w:tcPr>
            <w:tcW w:type="dxa" w:w="3460"/>
            <w:tcMar>
              <w:top w:type="dxa" w:w="50"/>
              <w:left w:type="dxa" w:w="90"/>
              <w:bottom w:type="dxa" w:w="50"/>
              <w:right w:type="dxa" w:w="90"/>
            </w:tcMar>
            <w:vAlign w:val="center"/>
          </w:tcPr>
          <w:p>
            <w:pPr>
              <w:spacing w:after="20"/>
              <w:jc w:val="left"/>
            </w:pPr>
            <w:r>
              <w:rPr>
                <w:b w:val="false"/>
                <w:bCs w:val="false"/>
                <w:sz w:val="18"/>
                <w:szCs w:val="18"/>
              </w:rPr>
              <w:t xml:space="preserve">Costo lineal en la distancia al valor real y fácil de explicar al negocio. Principal métrica técnica.</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RMSE (pp) y sesgo (pp)</w:t>
            </w:r>
          </w:p>
        </w:tc>
        <w:tc>
          <w:tcPr>
            <w:tcW w:type="dxa" w:w="3600"/>
            <w:tcMar>
              <w:top w:type="dxa" w:w="50"/>
              <w:left w:type="dxa" w:w="90"/>
              <w:bottom w:type="dxa" w:w="50"/>
              <w:right w:type="dxa" w:w="90"/>
            </w:tcMar>
            <w:vAlign w:val="center"/>
          </w:tcPr>
          <w:p>
            <w:pPr>
              <w:spacing w:after="20"/>
              <w:jc w:val="left"/>
            </w:pPr>
            <w:r>
              <w:rPr>
                <w:b w:val="false"/>
                <w:bCs w:val="false"/>
                <w:sz w:val="18"/>
                <w:szCs w:val="18"/>
              </w:rPr>
              <w:t xml:space="preserve">Penaliza errores grandes; el sesgo indica si el modelo sobrestima (positivo) o subestima.</w:t>
            </w:r>
          </w:p>
        </w:tc>
        <w:tc>
          <w:tcPr>
            <w:tcW w:type="dxa" w:w="3460"/>
            <w:tcMar>
              <w:top w:type="dxa" w:w="50"/>
              <w:left w:type="dxa" w:w="90"/>
              <w:bottom w:type="dxa" w:w="50"/>
              <w:right w:type="dxa" w:w="90"/>
            </w:tcMar>
            <w:vAlign w:val="center"/>
          </w:tcPr>
          <w:p>
            <w:pPr>
              <w:spacing w:after="20"/>
              <w:jc w:val="left"/>
            </w:pPr>
            <w:r>
              <w:rPr>
                <w:b w:val="false"/>
                <w:bCs w:val="false"/>
                <w:sz w:val="18"/>
                <w:szCs w:val="18"/>
              </w:rPr>
              <w:t xml:space="preserve">Un sesgo positivo sostenido es el error más costoso en el supuesto de costos.</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Costo medio por escenario</w:t>
            </w:r>
          </w:p>
        </w:tc>
        <w:tc>
          <w:tcPr>
            <w:tcW w:type="dxa" w:w="3600"/>
            <w:tcMar>
              <w:top w:type="dxa" w:w="50"/>
              <w:left w:type="dxa" w:w="90"/>
              <w:bottom w:type="dxa" w:w="50"/>
              <w:right w:type="dxa" w:w="90"/>
            </w:tcMar>
            <w:vAlign w:val="center"/>
          </w:tcPr>
          <w:p>
            <w:pPr>
              <w:spacing w:after="20"/>
              <w:jc w:val="left"/>
            </w:pPr>
            <w:r>
              <w:rPr>
                <w:b w:val="false"/>
                <w:bCs w:val="false"/>
                <w:sz w:val="18"/>
                <w:szCs w:val="18"/>
              </w:rPr>
              <w:t xml:space="preserve">Costo promedio del escenario asignado: 2 por nivel de sobrestimación y 1 por nivel de subestimación.</w:t>
            </w:r>
          </w:p>
        </w:tc>
        <w:tc>
          <w:tcPr>
            <w:tcW w:type="dxa" w:w="3460"/>
            <w:tcMar>
              <w:top w:type="dxa" w:w="50"/>
              <w:left w:type="dxa" w:w="90"/>
              <w:bottom w:type="dxa" w:w="50"/>
              <w:right w:type="dxa" w:w="90"/>
            </w:tcMar>
            <w:vAlign w:val="center"/>
          </w:tcPr>
          <w:p>
            <w:pPr>
              <w:spacing w:after="20"/>
              <w:jc w:val="left"/>
            </w:pPr>
            <w:r>
              <w:rPr>
                <w:b w:val="false"/>
                <w:bCs w:val="false"/>
                <w:sz w:val="18"/>
                <w:szCs w:val="18"/>
              </w:rPr>
              <w:t xml:space="preserve">Es la métrica de éxito del negocio (Sección 1.4).</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Acierto y F1 macro de escenario</w:t>
            </w:r>
          </w:p>
        </w:tc>
        <w:tc>
          <w:tcPr>
            <w:tcW w:type="dxa" w:w="3600"/>
            <w:tcMar>
              <w:top w:type="dxa" w:w="50"/>
              <w:left w:type="dxa" w:w="90"/>
              <w:bottom w:type="dxa" w:w="50"/>
              <w:right w:type="dxa" w:w="90"/>
            </w:tcMar>
            <w:vAlign w:val="center"/>
          </w:tcPr>
          <w:p>
            <w:pPr>
              <w:spacing w:after="20"/>
              <w:jc w:val="left"/>
            </w:pPr>
            <w:r>
              <w:rPr>
                <w:b w:val="false"/>
                <w:bCs w:val="false"/>
                <w:sz w:val="18"/>
                <w:szCs w:val="18"/>
              </w:rPr>
              <w:t xml:space="preserve">Proporción de escenarios correctos y promedio del F1 por clase.</w:t>
            </w:r>
          </w:p>
        </w:tc>
        <w:tc>
          <w:tcPr>
            <w:tcW w:type="dxa" w:w="3460"/>
            <w:tcMar>
              <w:top w:type="dxa" w:w="50"/>
              <w:left w:type="dxa" w:w="90"/>
              <w:bottom w:type="dxa" w:w="50"/>
              <w:right w:type="dxa" w:w="90"/>
            </w:tcMar>
            <w:vAlign w:val="center"/>
          </w:tcPr>
          <w:p>
            <w:pPr>
              <w:spacing w:after="20"/>
              <w:jc w:val="left"/>
            </w:pPr>
            <w:r>
              <w:rPr>
                <w:b w:val="false"/>
                <w:bCs w:val="false"/>
                <w:sz w:val="18"/>
                <w:szCs w:val="18"/>
              </w:rPr>
              <w:t xml:space="preserve">El acierto solo engaña con clases raras; el F1 macro da el mismo peso a cada escenario.</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Recall de "regular"</w:t>
            </w:r>
          </w:p>
        </w:tc>
        <w:tc>
          <w:tcPr>
            <w:tcW w:type="dxa" w:w="3600"/>
            <w:tcMar>
              <w:top w:type="dxa" w:w="50"/>
              <w:left w:type="dxa" w:w="90"/>
              <w:bottom w:type="dxa" w:w="50"/>
              <w:right w:type="dxa" w:w="90"/>
            </w:tcMar>
            <w:vAlign w:val="center"/>
          </w:tcPr>
          <w:p>
            <w:pPr>
              <w:spacing w:after="20"/>
              <w:jc w:val="left"/>
            </w:pPr>
            <w:r>
              <w:rPr>
                <w:b w:val="false"/>
                <w:bCs w:val="false"/>
                <w:sz w:val="18"/>
                <w:szCs w:val="18"/>
              </w:rPr>
              <w:t xml:space="preserve">De los casos realmente "regulares", cuántos detecta el modelo.</w:t>
            </w:r>
          </w:p>
        </w:tc>
        <w:tc>
          <w:tcPr>
            <w:tcW w:type="dxa" w:w="3460"/>
            <w:tcMar>
              <w:top w:type="dxa" w:w="50"/>
              <w:left w:type="dxa" w:w="90"/>
              <w:bottom w:type="dxa" w:w="50"/>
              <w:right w:type="dxa" w:w="90"/>
            </w:tcMar>
            <w:vAlign w:val="center"/>
          </w:tcPr>
          <w:p>
            <w:pPr>
              <w:spacing w:after="20"/>
              <w:jc w:val="left"/>
            </w:pPr>
            <w:r>
              <w:rPr>
                <w:b w:val="false"/>
                <w:bCs w:val="false"/>
                <w:sz w:val="18"/>
                <w:szCs w:val="18"/>
              </w:rPr>
              <w:t xml:space="preserve">Es el escenario más costoso de no ver: llega con meta e inventario que no se vende.</w:t>
            </w:r>
          </w:p>
        </w:tc>
      </w:tr>
    </w:tbl>
    <w:p>
      <w:pPr>
        <w:pStyle w:val="Heading2"/>
      </w:pPr>
      <w:r>
        <w:t xml:space="preserve">5.2 Estabilidad de la validación cruzada</w:t>
      </w:r>
    </w:p>
    <w:p>
      <w:pPr>
        <w:spacing w:after="120" w:line="276"/>
      </w:pPr>
      <w:r>
        <w:t xml:space="preserve">El MAE del modelo final en el mercado va de 3,1 a 7,1 pp entre los 9 pliegues (media 4,9, desviación 1,3). En el laboratorio va de 3,1 a 7,0 pp entre 5 pliegues (media 5,3, desviación 1,6). La variabilidad es alta frente al tamaño de las mejoras sobre las líneas base.</w:t>
      </w:r>
    </w:p>
    <w:p>
      <w:pPr>
        <w:keepNext/>
        <w:spacing w:after="60" w:before="160"/>
      </w:pPr>
      <w:r>
        <w:rPr>
          <w:b/>
          <w:bCs/>
          <w:color w:val="13201C"/>
          <w:sz w:val="19"/>
          <w:szCs w:val="19"/>
        </w:rPr>
        <w:t xml:space="preserve">Tabla 6. Error fuera de pliegue por especie del modelo final (MAE en pp, media y desviación)</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3360"/>
        <w:gridCol w:w="3000"/>
        <w:gridCol w:w="3000"/>
      </w:tblGrid>
      <w:tr>
        <w:trPr>
          <w:cantSplit/>
          <w:tblHeader/>
        </w:trPr>
        <w:tc>
          <w:tcPr>
            <w:tcW w:type="dxa" w:w="3360"/>
            <w:shd w:fill="E4EEEB" w:color="auto" w:val="clear"/>
            <w:tcMar>
              <w:top w:type="dxa" w:w="50"/>
              <w:left w:type="dxa" w:w="90"/>
              <w:bottom w:type="dxa" w:w="50"/>
              <w:right w:type="dxa" w:w="90"/>
            </w:tcMar>
            <w:vAlign w:val="center"/>
          </w:tcPr>
          <w:p>
            <w:pPr>
              <w:spacing w:after="20"/>
              <w:jc w:val="left"/>
            </w:pPr>
            <w:r>
              <w:rPr>
                <w:b/>
                <w:bCs/>
                <w:sz w:val="18"/>
                <w:szCs w:val="18"/>
              </w:rPr>
              <w:t xml:space="preserve">Especie</w:t>
            </w:r>
          </w:p>
        </w:tc>
        <w:tc>
          <w:tcPr>
            <w:tcW w:type="dxa" w:w="3000"/>
            <w:shd w:fill="E4EEEB" w:color="auto" w:val="clear"/>
            <w:tcMar>
              <w:top w:type="dxa" w:w="50"/>
              <w:left w:type="dxa" w:w="90"/>
              <w:bottom w:type="dxa" w:w="50"/>
              <w:right w:type="dxa" w:w="90"/>
            </w:tcMar>
            <w:vAlign w:val="center"/>
          </w:tcPr>
          <w:p>
            <w:pPr>
              <w:spacing w:after="20"/>
              <w:jc w:val="right"/>
            </w:pPr>
            <w:r>
              <w:rPr>
                <w:b/>
                <w:bCs/>
                <w:sz w:val="18"/>
                <w:szCs w:val="18"/>
              </w:rPr>
              <w:t xml:space="preserve">Mercado</w:t>
            </w:r>
          </w:p>
        </w:tc>
        <w:tc>
          <w:tcPr>
            <w:tcW w:type="dxa" w:w="3000"/>
            <w:shd w:fill="E4EEEB" w:color="auto" w:val="clear"/>
            <w:tcMar>
              <w:top w:type="dxa" w:w="50"/>
              <w:left w:type="dxa" w:w="90"/>
              <w:bottom w:type="dxa" w:w="50"/>
              <w:right w:type="dxa" w:w="90"/>
            </w:tcMar>
            <w:vAlign w:val="center"/>
          </w:tcPr>
          <w:p>
            <w:pPr>
              <w:spacing w:after="20"/>
              <w:jc w:val="right"/>
            </w:pPr>
            <w:r>
              <w:rPr>
                <w:b/>
                <w:bCs/>
                <w:sz w:val="18"/>
                <w:szCs w:val="18"/>
              </w:rPr>
              <w:t xml:space="preserve">Laboratorio</w:t>
            </w:r>
          </w:p>
        </w:tc>
      </w:tr>
      <w:tr>
        <w:trPr>
          <w:cantSplit/>
        </w:trPr>
        <w:tc>
          <w:tcPr>
            <w:tcW w:type="dxa" w:w="3360"/>
            <w:tcMar>
              <w:top w:type="dxa" w:w="50"/>
              <w:left w:type="dxa" w:w="90"/>
              <w:bottom w:type="dxa" w:w="50"/>
              <w:right w:type="dxa" w:w="90"/>
            </w:tcMar>
            <w:vAlign w:val="center"/>
          </w:tcPr>
          <w:p>
            <w:pPr>
              <w:spacing w:after="20"/>
              <w:jc w:val="left"/>
            </w:pPr>
            <w:r>
              <w:rPr>
                <w:sz w:val="18"/>
                <w:szCs w:val="18"/>
              </w:rPr>
              <w:t xml:space="preserve">Animales de compañía</w:t>
            </w:r>
          </w:p>
        </w:tc>
        <w:tc>
          <w:tcPr>
            <w:tcW w:type="dxa" w:w="3000"/>
            <w:tcMar>
              <w:top w:type="dxa" w:w="50"/>
              <w:left w:type="dxa" w:w="90"/>
              <w:bottom w:type="dxa" w:w="50"/>
              <w:right w:type="dxa" w:w="90"/>
            </w:tcMar>
            <w:vAlign w:val="center"/>
          </w:tcPr>
          <w:p>
            <w:pPr>
              <w:spacing w:after="20"/>
              <w:jc w:val="right"/>
            </w:pPr>
            <w:r>
              <w:rPr>
                <w:sz w:val="18"/>
                <w:szCs w:val="18"/>
              </w:rPr>
              <w:t xml:space="preserve">7,1 ± 5,7</w:t>
            </w:r>
          </w:p>
        </w:tc>
        <w:tc>
          <w:tcPr>
            <w:tcW w:type="dxa" w:w="3000"/>
            <w:tcMar>
              <w:top w:type="dxa" w:w="50"/>
              <w:left w:type="dxa" w:w="90"/>
              <w:bottom w:type="dxa" w:w="50"/>
              <w:right w:type="dxa" w:w="90"/>
            </w:tcMar>
            <w:vAlign w:val="center"/>
          </w:tcPr>
          <w:p>
            <w:pPr>
              <w:spacing w:after="20"/>
              <w:jc w:val="right"/>
            </w:pPr>
            <w:r>
              <w:rPr>
                <w:sz w:val="18"/>
                <w:szCs w:val="18"/>
              </w:rPr>
              <w:t xml:space="preserve">6,7 ± 3,7</w:t>
            </w:r>
          </w:p>
        </w:tc>
      </w:tr>
      <w:tr>
        <w:trPr>
          <w:cantSplit/>
        </w:trPr>
        <w:tc>
          <w:tcPr>
            <w:tcW w:type="dxa" w:w="3360"/>
            <w:tcMar>
              <w:top w:type="dxa" w:w="50"/>
              <w:left w:type="dxa" w:w="90"/>
              <w:bottom w:type="dxa" w:w="50"/>
              <w:right w:type="dxa" w:w="90"/>
            </w:tcMar>
            <w:vAlign w:val="center"/>
          </w:tcPr>
          <w:p>
            <w:pPr>
              <w:spacing w:after="20"/>
              <w:jc w:val="left"/>
            </w:pPr>
            <w:r>
              <w:rPr>
                <w:sz w:val="18"/>
                <w:szCs w:val="18"/>
              </w:rPr>
              <w:t xml:space="preserve">Bovinos</w:t>
            </w:r>
          </w:p>
        </w:tc>
        <w:tc>
          <w:tcPr>
            <w:tcW w:type="dxa" w:w="3000"/>
            <w:tcMar>
              <w:top w:type="dxa" w:w="50"/>
              <w:left w:type="dxa" w:w="90"/>
              <w:bottom w:type="dxa" w:w="50"/>
              <w:right w:type="dxa" w:w="90"/>
            </w:tcMar>
            <w:vAlign w:val="center"/>
          </w:tcPr>
          <w:p>
            <w:pPr>
              <w:spacing w:after="20"/>
              <w:jc w:val="right"/>
            </w:pPr>
            <w:r>
              <w:rPr>
                <w:sz w:val="18"/>
                <w:szCs w:val="18"/>
              </w:rPr>
              <w:t xml:space="preserve">3,5 ± 2,2</w:t>
            </w:r>
          </w:p>
        </w:tc>
        <w:tc>
          <w:tcPr>
            <w:tcW w:type="dxa" w:w="3000"/>
            <w:tcMar>
              <w:top w:type="dxa" w:w="50"/>
              <w:left w:type="dxa" w:w="90"/>
              <w:bottom w:type="dxa" w:w="50"/>
              <w:right w:type="dxa" w:w="90"/>
            </w:tcMar>
            <w:vAlign w:val="center"/>
          </w:tcPr>
          <w:p>
            <w:pPr>
              <w:spacing w:after="20"/>
              <w:jc w:val="right"/>
            </w:pPr>
            <w:r>
              <w:rPr>
                <w:sz w:val="18"/>
                <w:szCs w:val="18"/>
              </w:rPr>
              <w:t xml:space="preserve">3,2 ± 1,9</w:t>
            </w:r>
          </w:p>
        </w:tc>
      </w:tr>
      <w:tr>
        <w:trPr>
          <w:cantSplit/>
        </w:trPr>
        <w:tc>
          <w:tcPr>
            <w:tcW w:type="dxa" w:w="3360"/>
            <w:tcMar>
              <w:top w:type="dxa" w:w="50"/>
              <w:left w:type="dxa" w:w="90"/>
              <w:bottom w:type="dxa" w:w="50"/>
              <w:right w:type="dxa" w:w="90"/>
            </w:tcMar>
            <w:vAlign w:val="center"/>
          </w:tcPr>
          <w:p>
            <w:pPr>
              <w:spacing w:after="20"/>
              <w:jc w:val="left"/>
            </w:pPr>
            <w:r>
              <w:rPr>
                <w:sz w:val="18"/>
                <w:szCs w:val="18"/>
              </w:rPr>
              <w:t xml:space="preserve">Aves</w:t>
            </w:r>
          </w:p>
        </w:tc>
        <w:tc>
          <w:tcPr>
            <w:tcW w:type="dxa" w:w="3000"/>
            <w:tcMar>
              <w:top w:type="dxa" w:w="50"/>
              <w:left w:type="dxa" w:w="90"/>
              <w:bottom w:type="dxa" w:w="50"/>
              <w:right w:type="dxa" w:w="90"/>
            </w:tcMar>
            <w:vAlign w:val="center"/>
          </w:tcPr>
          <w:p>
            <w:pPr>
              <w:spacing w:after="20"/>
              <w:jc w:val="right"/>
            </w:pPr>
            <w:r>
              <w:rPr>
                <w:sz w:val="18"/>
                <w:szCs w:val="18"/>
              </w:rPr>
              <w:t xml:space="preserve">3,2 ± 2,2</w:t>
            </w:r>
          </w:p>
        </w:tc>
        <w:tc>
          <w:tcPr>
            <w:tcW w:type="dxa" w:w="3000"/>
            <w:tcMar>
              <w:top w:type="dxa" w:w="50"/>
              <w:left w:type="dxa" w:w="90"/>
              <w:bottom w:type="dxa" w:w="50"/>
              <w:right w:type="dxa" w:w="90"/>
            </w:tcMar>
            <w:vAlign w:val="center"/>
          </w:tcPr>
          <w:p>
            <w:pPr>
              <w:spacing w:after="20"/>
              <w:jc w:val="right"/>
            </w:pPr>
            <w:r>
              <w:rPr>
                <w:sz w:val="18"/>
                <w:szCs w:val="18"/>
              </w:rPr>
              <w:t xml:space="preserve">6,3 ± 5,1</w:t>
            </w:r>
          </w:p>
        </w:tc>
      </w:tr>
      <w:tr>
        <w:trPr>
          <w:cantSplit/>
        </w:trPr>
        <w:tc>
          <w:tcPr>
            <w:tcW w:type="dxa" w:w="3360"/>
            <w:tcMar>
              <w:top w:type="dxa" w:w="50"/>
              <w:left w:type="dxa" w:w="90"/>
              <w:bottom w:type="dxa" w:w="50"/>
              <w:right w:type="dxa" w:w="90"/>
            </w:tcMar>
            <w:vAlign w:val="center"/>
          </w:tcPr>
          <w:p>
            <w:pPr>
              <w:spacing w:after="20"/>
              <w:jc w:val="left"/>
            </w:pPr>
            <w:r>
              <w:rPr>
                <w:sz w:val="18"/>
                <w:szCs w:val="18"/>
              </w:rPr>
              <w:t xml:space="preserve">Cerdos</w:t>
            </w:r>
          </w:p>
        </w:tc>
        <w:tc>
          <w:tcPr>
            <w:tcW w:type="dxa" w:w="3000"/>
            <w:tcMar>
              <w:top w:type="dxa" w:w="50"/>
              <w:left w:type="dxa" w:w="90"/>
              <w:bottom w:type="dxa" w:w="50"/>
              <w:right w:type="dxa" w:w="90"/>
            </w:tcMar>
            <w:vAlign w:val="center"/>
          </w:tcPr>
          <w:p>
            <w:pPr>
              <w:spacing w:after="20"/>
              <w:jc w:val="right"/>
            </w:pPr>
            <w:r>
              <w:rPr>
                <w:sz w:val="18"/>
                <w:szCs w:val="18"/>
              </w:rPr>
              <w:t xml:space="preserve">5,8 ± 4,1</w:t>
            </w:r>
          </w:p>
        </w:tc>
        <w:tc>
          <w:tcPr>
            <w:tcW w:type="dxa" w:w="3000"/>
            <w:tcMar>
              <w:top w:type="dxa" w:w="50"/>
              <w:left w:type="dxa" w:w="90"/>
              <w:bottom w:type="dxa" w:w="50"/>
              <w:right w:type="dxa" w:w="90"/>
            </w:tcMar>
            <w:vAlign w:val="center"/>
          </w:tcPr>
          <w:p>
            <w:pPr>
              <w:spacing w:after="20"/>
              <w:jc w:val="right"/>
            </w:pPr>
            <w:r>
              <w:rPr>
                <w:sz w:val="18"/>
                <w:szCs w:val="18"/>
              </w:rPr>
              <w:t xml:space="preserve">5,1 ± 2,8</w:t>
            </w:r>
          </w:p>
        </w:tc>
      </w:tr>
    </w:tbl>
    <w:p>
      <w:pPr>
        <w:spacing w:after="100"/>
      </w:pPr>
    </w:p>
    <w:p>
      <w:pPr>
        <w:pStyle w:val="Heading2"/>
      </w:pPr>
      <w:r>
        <w:t xml:space="preserve">5.3 Umbral de decisión recomendado</w:t>
      </w:r>
    </w:p>
    <w:p>
      <w:pPr>
        <w:spacing w:after="120" w:line="276"/>
      </w:pPr>
      <w:r>
        <w:t xml:space="preserve">Los umbrales de escenario (8% y 15%) son del negocio y no se modifican. Lo que sí se puede ajustar es cuánta prudencia se aplica antes de clasificar: se resta un descuento m a la predicción y luego se aplican los umbrales. El valor de m se eligió con las predicciones fuera de pliegue para minimizar el costo esperado.</w:t>
      </w:r>
    </w:p>
    <w:p>
      <w:pPr>
        <w:keepNext/>
        <w:spacing w:after="40" w:before="80"/>
        <w:jc w:val="center"/>
      </w:pPr>
      <w:r>
        <w:drawing>
          <wp:inline distT="0" distB="0" distL="0" distR="0">
            <wp:extent cx="5334000" cy="1971675"/>
            <wp:effectExtent t="0" r="0" b="0" l="0"/>
            <wp:docPr id="1" name="f4_umbral.png" descr="f4_umbral.png" title="f4_umb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71675"/>
                    </a:xfrm>
                    <a:prstGeom prst="rect">
                      <a:avLst/>
                    </a:prstGeom>
                  </pic:spPr>
                </pic:pic>
              </a:graphicData>
            </a:graphic>
          </wp:inline>
        </w:drawing>
      </w:r>
    </w:p>
    <w:p>
      <w:pPr>
        <w:spacing w:after="200" w:before="60"/>
      </w:pPr>
      <w:r>
        <w:rPr>
          <w:i/>
          <w:iCs/>
          <w:color w:val="5E6E69"/>
          <w:sz w:val="18"/>
          <w:szCs w:val="18"/>
        </w:rPr>
        <w:t xml:space="preserve">Figura 4. Costo medio por observación según el descuento de prudencia m (predicciones fuera de pliegue del entrenamiento).</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4500"/>
        <w:gridCol w:w="2430"/>
        <w:gridCol w:w="2430"/>
      </w:tblGrid>
      <w:tr>
        <w:trPr>
          <w:cantSplit/>
          <w:tblHeader/>
        </w:trPr>
        <w:tc>
          <w:tcPr>
            <w:tcW w:type="dxa" w:w="4500"/>
            <w:shd w:fill="E4EEEB" w:color="auto" w:val="clear"/>
            <w:tcMar>
              <w:top w:type="dxa" w:w="50"/>
              <w:left w:type="dxa" w:w="90"/>
              <w:bottom w:type="dxa" w:w="50"/>
              <w:right w:type="dxa" w:w="90"/>
            </w:tcMar>
            <w:vAlign w:val="center"/>
          </w:tcPr>
          <w:p>
            <w:pPr>
              <w:spacing w:after="20"/>
              <w:jc w:val="left"/>
            </w:pPr>
          </w:p>
        </w:tc>
        <w:tc>
          <w:tcPr>
            <w:tcW w:type="dxa" w:w="2430"/>
            <w:shd w:fill="E4EEEB" w:color="auto" w:val="clear"/>
            <w:tcMar>
              <w:top w:type="dxa" w:w="50"/>
              <w:left w:type="dxa" w:w="90"/>
              <w:bottom w:type="dxa" w:w="50"/>
              <w:right w:type="dxa" w:w="90"/>
            </w:tcMar>
            <w:vAlign w:val="center"/>
          </w:tcPr>
          <w:p>
            <w:pPr>
              <w:spacing w:after="20"/>
              <w:jc w:val="right"/>
            </w:pPr>
            <w:r>
              <w:rPr>
                <w:b/>
                <w:bCs/>
                <w:sz w:val="18"/>
                <w:szCs w:val="18"/>
              </w:rPr>
              <w:t xml:space="preserve">Mercado</w:t>
            </w:r>
          </w:p>
        </w:tc>
        <w:tc>
          <w:tcPr>
            <w:tcW w:type="dxa" w:w="2430"/>
            <w:shd w:fill="E4EEEB" w:color="auto" w:val="clear"/>
            <w:tcMar>
              <w:top w:type="dxa" w:w="50"/>
              <w:left w:type="dxa" w:w="90"/>
              <w:bottom w:type="dxa" w:w="50"/>
              <w:right w:type="dxa" w:w="90"/>
            </w:tcMar>
            <w:vAlign w:val="center"/>
          </w:tcPr>
          <w:p>
            <w:pPr>
              <w:spacing w:after="20"/>
              <w:jc w:val="right"/>
            </w:pPr>
            <w:r>
              <w:rPr>
                <w:b/>
                <w:bCs/>
                <w:sz w:val="18"/>
                <w:szCs w:val="18"/>
              </w:rPr>
              <w:t xml:space="preserve">Laboratorio</w:t>
            </w:r>
          </w:p>
        </w:tc>
      </w:tr>
      <w:tr>
        <w:trPr>
          <w:cantSplit/>
        </w:trPr>
        <w:tc>
          <w:tcPr>
            <w:tcW w:type="dxa" w:w="4500"/>
            <w:tcMar>
              <w:top w:type="dxa" w:w="50"/>
              <w:left w:type="dxa" w:w="90"/>
              <w:bottom w:type="dxa" w:w="50"/>
              <w:right w:type="dxa" w:w="90"/>
            </w:tcMar>
            <w:vAlign w:val="center"/>
          </w:tcPr>
          <w:p>
            <w:pPr>
              <w:spacing w:after="20"/>
              <w:jc w:val="left"/>
            </w:pPr>
            <w:r>
              <w:rPr>
                <w:b/>
                <w:bCs/>
                <w:sz w:val="18"/>
                <w:szCs w:val="18"/>
              </w:rPr>
              <w:t xml:space="preserve">m recomendado por validación cruzada</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+1,0 pp</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+3,5 pp</w:t>
            </w:r>
          </w:p>
        </w:tc>
      </w:tr>
      <w:tr>
        <w:trPr>
          <w:cantSplit/>
        </w:trPr>
        <w:tc>
          <w:tcPr>
            <w:tcW w:type="dxa" w:w="4500"/>
            <w:tcMar>
              <w:top w:type="dxa" w:w="50"/>
              <w:left w:type="dxa" w:w="90"/>
              <w:bottom w:type="dxa" w:w="50"/>
              <w:right w:type="dxa" w:w="90"/>
            </w:tcMar>
            <w:vAlign w:val="center"/>
          </w:tcPr>
          <w:p>
            <w:pPr>
              <w:spacing w:after="20"/>
              <w:jc w:val="left"/>
            </w:pPr>
            <w:r>
              <w:rPr>
                <w:b/>
                <w:bCs/>
                <w:sz w:val="18"/>
                <w:szCs w:val="18"/>
              </w:rPr>
              <w:t xml:space="preserve">Costo medio con m = 0</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0,71</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0,50</w:t>
            </w:r>
          </w:p>
        </w:tc>
      </w:tr>
      <w:tr>
        <w:trPr>
          <w:cantSplit/>
        </w:trPr>
        <w:tc>
          <w:tcPr>
            <w:tcW w:type="dxa" w:w="4500"/>
            <w:tcMar>
              <w:top w:type="dxa" w:w="50"/>
              <w:left w:type="dxa" w:w="90"/>
              <w:bottom w:type="dxa" w:w="50"/>
              <w:right w:type="dxa" w:w="90"/>
            </w:tcMar>
            <w:vAlign w:val="center"/>
          </w:tcPr>
          <w:p>
            <w:pPr>
              <w:spacing w:after="20"/>
              <w:jc w:val="left"/>
            </w:pPr>
            <w:r>
              <w:rPr>
                <w:b/>
                <w:bCs/>
                <w:sz w:val="18"/>
                <w:szCs w:val="18"/>
              </w:rPr>
              <w:t xml:space="preserve">Costo medio con el m recomendado</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0,63</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0,43</w:t>
            </w:r>
          </w:p>
        </w:tc>
      </w:tr>
      <w:tr>
        <w:trPr>
          <w:cantSplit/>
        </w:trPr>
        <w:tc>
          <w:tcPr>
            <w:tcW w:type="dxa" w:w="4500"/>
            <w:tcMar>
              <w:top w:type="dxa" w:w="50"/>
              <w:left w:type="dxa" w:w="90"/>
              <w:bottom w:type="dxa" w:w="50"/>
              <w:right w:type="dxa" w:w="90"/>
            </w:tcMar>
            <w:vAlign w:val="center"/>
          </w:tcPr>
          <w:p>
            <w:pPr>
              <w:spacing w:after="20"/>
              <w:jc w:val="left"/>
            </w:pPr>
            <w:r>
              <w:rPr>
                <w:b/>
                <w:bCs/>
                <w:sz w:val="18"/>
                <w:szCs w:val="18"/>
              </w:rPr>
              <w:t xml:space="preserve">Detección de "regular" con m = 0</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0%</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59%</w:t>
            </w:r>
          </w:p>
        </w:tc>
      </w:tr>
      <w:tr>
        <w:trPr>
          <w:cantSplit/>
        </w:trPr>
        <w:tc>
          <w:tcPr>
            <w:tcW w:type="dxa" w:w="4500"/>
            <w:tcMar>
              <w:top w:type="dxa" w:w="50"/>
              <w:left w:type="dxa" w:w="90"/>
              <w:bottom w:type="dxa" w:w="50"/>
              <w:right w:type="dxa" w:w="90"/>
            </w:tcMar>
            <w:vAlign w:val="center"/>
          </w:tcPr>
          <w:p>
            <w:pPr>
              <w:spacing w:after="20"/>
              <w:jc w:val="left"/>
            </w:pPr>
            <w:r>
              <w:rPr>
                <w:b/>
                <w:bCs/>
                <w:sz w:val="18"/>
                <w:szCs w:val="18"/>
              </w:rPr>
              <w:t xml:space="preserve">Detección de "regular" con el m recomendado</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0%</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94%</w:t>
            </w:r>
          </w:p>
        </w:tc>
      </w:tr>
    </w:tbl>
    <w:p>
      <w:pPr>
        <w:spacing w:after="100"/>
      </w:pPr>
    </w:p>
    <w:p>
      <w:pPr>
        <w:spacing w:after="120" w:line="276"/>
      </w:pPr>
      <w:r>
        <w:rPr>
          <w:b/>
          <w:bCs/>
        </w:rPr>
        <w:t xml:space="preserve">Recomendación sobre el umbral.</w:t>
      </w:r>
      <w:r>
        <w:t xml:space="preserve"> La mejora esperada por m es pequeña en el mercado (0,71 a 0,63), y en el mercado el modelo no detecta ningún caso "regular" con ningún m razonable. En la prueba (Sección 5.5) el m del laboratorio resultó perjudicial: el acierto bajó de 83% a 75% y el costo subió de 0,17 a 0,29. Por eso </w:t>
      </w:r>
      <w:r>
        <w:rPr>
          <w:b/>
          <w:bCs/>
        </w:rPr>
        <w:t xml:space="preserve">no se recomienda adoptar un descuento de prudencia por ahora</w:t>
      </w:r>
      <w:r>
        <w:t xml:space="preserve">: se mantienen los umbrales de 8% y 15% y se muestra siempre el margen de error junto a cada escenario. El valor de m debe recalcularse con los datos de julio a diciembre de 2026. Esta recomendación se apoya en la prueba solo como advertencia; no se usó para modificar el protocolo.</w:t>
      </w:r>
    </w:p>
    <w:p>
      <w:pPr>
        <w:pStyle w:val="Heading2"/>
      </w:pPr>
      <w:r>
        <w:t xml:space="preserve">5.4 Diagnóstico de sesgo y varianza</w:t>
      </w:r>
    </w:p>
    <w:p>
      <w:pPr>
        <w:keepNext/>
        <w:spacing w:after="40" w:before="80"/>
        <w:jc w:val="center"/>
      </w:pPr>
      <w:r>
        <w:drawing>
          <wp:inline distT="0" distB="0" distL="0" distR="0">
            <wp:extent cx="5334000" cy="1971675"/>
            <wp:effectExtent t="0" r="0" b="0" l="0"/>
            <wp:docPr id="1" name="f3_aprendizaje.png" descr="f3_aprendizaje.png" title="f3_aprendizaj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71675"/>
                    </a:xfrm>
                    <a:prstGeom prst="rect">
                      <a:avLst/>
                    </a:prstGeom>
                  </pic:spPr>
                </pic:pic>
              </a:graphicData>
            </a:graphic>
          </wp:inline>
        </w:drawing>
      </w:r>
    </w:p>
    <w:p>
      <w:pPr>
        <w:spacing w:after="200" w:before="60"/>
      </w:pPr>
      <w:r>
        <w:rPr>
          <w:i/>
          <w:iCs/>
          <w:color w:val="5E6E69"/>
          <w:sz w:val="18"/>
          <w:szCs w:val="18"/>
        </w:rPr>
        <w:t xml:space="preserve">Figura 5. Curvas de aprendizaje del modelo final: error en los meses de entrenamiento y en meses retenidos, según la cantidad de meses usados para entrenar.</w:t>
      </w:r>
    </w:p>
    <w:p>
      <w:pPr>
        <w:pStyle w:val="ListParagraph"/>
        <w:numPr>
          <w:ilvl w:val="0"/>
          <w:numId w:val="2"/>
        </w:numPr>
        <w:spacing w:after="60" w:line="264"/>
      </w:pPr>
      <w:r>
        <w:rPr>
          <w:b/>
          <w:bCs/>
        </w:rPr>
        <w:t xml:space="preserve">Varianza alta en el mercado.</w:t>
      </w:r>
      <w:r>
        <w:t xml:space="preserve"> Con 36 meses de entrenamiento el error en entrenamiento es 3,6 pp y en meses retenidos 5,3 pp. La brecha de 1,7 pp persiste y el error retenido sigue bajando al agregar meses: más datos ayudarían.</w:t>
      </w:r>
    </w:p>
    <w:p>
      <w:pPr>
        <w:pStyle w:val="ListParagraph"/>
        <w:numPr>
          <w:ilvl w:val="0"/>
          <w:numId w:val="2"/>
        </w:numPr>
        <w:spacing w:after="60" w:line="264"/>
      </w:pPr>
      <w:r>
        <w:rPr>
          <w:b/>
          <w:bCs/>
        </w:rPr>
        <w:t xml:space="preserve">La regularización compensa la varianza a costa de sesgo.</w:t>
      </w:r>
      <w:r>
        <w:t xml:space="preserve"> Con alpha = 0,1 el mercado tiene 1,8 pp en entrenamiento y 8,6 pp en validación cruzada (sobreajuste); con alpha = 1.000 3,7 y 4,9 pp. El modelo final renuncia a ajustar la historia para no memorizarla.</w:t>
      </w:r>
    </w:p>
    <w:p>
      <w:pPr>
        <w:pStyle w:val="ListParagraph"/>
        <w:numPr>
          <w:ilvl w:val="0"/>
          <w:numId w:val="2"/>
        </w:numPr>
        <w:spacing w:after="60" w:line="264"/>
      </w:pPr>
      <w:r>
        <w:rPr>
          <w:b/>
          <w:bCs/>
        </w:rPr>
        <w:t xml:space="preserve">Laboratorio.</w:t>
      </w:r>
      <w:r>
        <w:t xml:space="preserve"> Entrenamiento 3,3 pp y meses retenidos 4,7 pp con 16 meses de entrenamiento; la curva no se estabiliza con tan pocos meses, así que el diagnóstico es menos confiable.</w:t>
      </w:r>
    </w:p>
    <w:p>
      <w:pPr>
        <w:pStyle w:val="ListParagraph"/>
        <w:numPr>
          <w:ilvl w:val="0"/>
          <w:numId w:val="2"/>
        </w:numPr>
        <w:spacing w:after="60" w:line="264"/>
      </w:pPr>
      <w:r>
        <w:rPr>
          <w:b/>
          <w:bCs/>
        </w:rPr>
        <w:t xml:space="preserve">Sesgo estructural.</w:t>
      </w:r>
      <w:r>
        <w:t xml:space="preserve"> Un error de 3,6 pp en entrenamiento muestra que el modelo no captura toda la variación. La caída de aves en 2026 queda fuera de lo que las variables explican.</w:t>
      </w:r>
    </w:p>
    <w:p>
      <w:pPr>
        <w:pStyle w:val="Heading2"/>
      </w:pPr>
      <w:r>
        <w:t xml:space="preserve">5.5 Resultados en la prueba (consulta única, enero a junio de 2026)</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1900"/>
        <w:gridCol w:w="1250"/>
        <w:gridCol w:w="1250"/>
        <w:gridCol w:w="1250"/>
        <w:gridCol w:w="1250"/>
        <w:gridCol w:w="1230"/>
        <w:gridCol w:w="1230"/>
      </w:tblGrid>
      <w:tr>
        <w:trPr>
          <w:cantSplit/>
          <w:tblHeader/>
        </w:trPr>
        <w:tc>
          <w:tcPr>
            <w:tcW w:type="dxa" w:w="1900"/>
            <w:shd w:fill="E4EEEB" w:color="auto" w:val="clear"/>
            <w:tcMar>
              <w:top w:type="dxa" w:w="50"/>
              <w:left w:type="dxa" w:w="90"/>
              <w:bottom w:type="dxa" w:w="50"/>
              <w:right w:type="dxa" w:w="90"/>
            </w:tcMar>
            <w:vAlign w:val="center"/>
          </w:tcPr>
          <w:p>
            <w:pPr>
              <w:spacing w:after="20"/>
              <w:jc w:val="left"/>
            </w:pPr>
            <w:r>
              <w:rPr>
                <w:b/>
                <w:bCs/>
                <w:sz w:val="18"/>
                <w:szCs w:val="18"/>
              </w:rPr>
              <w:t xml:space="preserve">Métrica</w:t>
            </w:r>
          </w:p>
        </w:tc>
        <w:tc>
          <w:tcPr>
            <w:tcW w:type="dxa" w:w="1250"/>
            <w:shd w:fill="E4EEEB" w:color="auto" w:val="clear"/>
            <w:tcMar>
              <w:top w:type="dxa" w:w="50"/>
              <w:left w:type="dxa" w:w="90"/>
              <w:bottom w:type="dxa" w:w="50"/>
              <w:right w:type="dxa" w:w="90"/>
            </w:tcMar>
            <w:vAlign w:val="center"/>
          </w:tcPr>
          <w:p>
            <w:pPr>
              <w:spacing w:after="20"/>
              <w:jc w:val="right"/>
            </w:pPr>
            <w:r>
              <w:rPr>
                <w:b/>
                <w:bCs/>
                <w:sz w:val="18"/>
                <w:szCs w:val="18"/>
              </w:rPr>
              <w:t xml:space="preserve">Mercado: modelo</w:t>
            </w:r>
          </w:p>
        </w:tc>
        <w:tc>
          <w:tcPr>
            <w:tcW w:type="dxa" w:w="1250"/>
            <w:shd w:fill="E4EEEB" w:color="auto" w:val="clear"/>
            <w:tcMar>
              <w:top w:type="dxa" w:w="50"/>
              <w:left w:type="dxa" w:w="90"/>
              <w:bottom w:type="dxa" w:w="50"/>
              <w:right w:type="dxa" w:w="90"/>
            </w:tcMar>
            <w:vAlign w:val="center"/>
          </w:tcPr>
          <w:p>
            <w:pPr>
              <w:spacing w:after="20"/>
              <w:jc w:val="right"/>
            </w:pPr>
            <w:r>
              <w:rPr>
                <w:b/>
                <w:bCs/>
                <w:sz w:val="18"/>
                <w:szCs w:val="18"/>
              </w:rPr>
              <w:t xml:space="preserve">Mercado: base 2</w:t>
            </w:r>
          </w:p>
        </w:tc>
        <w:tc>
          <w:tcPr>
            <w:tcW w:type="dxa" w:w="1250"/>
            <w:shd w:fill="E4EEEB" w:color="auto" w:val="clear"/>
            <w:tcMar>
              <w:top w:type="dxa" w:w="50"/>
              <w:left w:type="dxa" w:w="90"/>
              <w:bottom w:type="dxa" w:w="50"/>
              <w:right w:type="dxa" w:w="90"/>
            </w:tcMar>
            <w:vAlign w:val="center"/>
          </w:tcPr>
          <w:p>
            <w:pPr>
              <w:spacing w:after="20"/>
              <w:jc w:val="right"/>
            </w:pPr>
            <w:r>
              <w:rPr>
                <w:b/>
                <w:bCs/>
                <w:sz w:val="18"/>
                <w:szCs w:val="18"/>
              </w:rPr>
              <w:t xml:space="preserve">Mercado: base 1</w:t>
            </w:r>
          </w:p>
        </w:tc>
        <w:tc>
          <w:tcPr>
            <w:tcW w:type="dxa" w:w="1250"/>
            <w:shd w:fill="E4EEEB" w:color="auto" w:val="clear"/>
            <w:tcMar>
              <w:top w:type="dxa" w:w="50"/>
              <w:left w:type="dxa" w:w="90"/>
              <w:bottom w:type="dxa" w:w="50"/>
              <w:right w:type="dxa" w:w="90"/>
            </w:tcMar>
            <w:vAlign w:val="center"/>
          </w:tcPr>
          <w:p>
            <w:pPr>
              <w:spacing w:after="20"/>
              <w:jc w:val="right"/>
            </w:pPr>
            <w:r>
              <w:rPr>
                <w:b/>
                <w:bCs/>
                <w:sz w:val="18"/>
                <w:szCs w:val="18"/>
              </w:rPr>
              <w:t xml:space="preserve">Lab.: modelo</w:t>
            </w:r>
          </w:p>
        </w:tc>
        <w:tc>
          <w:tcPr>
            <w:tcW w:type="dxa" w:w="1230"/>
            <w:shd w:fill="E4EEEB" w:color="auto" w:val="clear"/>
            <w:tcMar>
              <w:top w:type="dxa" w:w="50"/>
              <w:left w:type="dxa" w:w="90"/>
              <w:bottom w:type="dxa" w:w="50"/>
              <w:right w:type="dxa" w:w="90"/>
            </w:tcMar>
            <w:vAlign w:val="center"/>
          </w:tcPr>
          <w:p>
            <w:pPr>
              <w:spacing w:after="20"/>
              <w:jc w:val="right"/>
            </w:pPr>
            <w:r>
              <w:rPr>
                <w:b/>
                <w:bCs/>
                <w:sz w:val="18"/>
                <w:szCs w:val="18"/>
              </w:rPr>
              <w:t xml:space="preserve">Lab.: base 2</w:t>
            </w:r>
          </w:p>
        </w:tc>
        <w:tc>
          <w:tcPr>
            <w:tcW w:type="dxa" w:w="1230"/>
            <w:shd w:fill="E4EEEB" w:color="auto" w:val="clear"/>
            <w:tcMar>
              <w:top w:type="dxa" w:w="50"/>
              <w:left w:type="dxa" w:w="90"/>
              <w:bottom w:type="dxa" w:w="50"/>
              <w:right w:type="dxa" w:w="90"/>
            </w:tcMar>
            <w:vAlign w:val="center"/>
          </w:tcPr>
          <w:p>
            <w:pPr>
              <w:spacing w:after="20"/>
              <w:jc w:val="right"/>
            </w:pPr>
            <w:r>
              <w:rPr>
                <w:b/>
                <w:bCs/>
                <w:sz w:val="18"/>
                <w:szCs w:val="18"/>
              </w:rPr>
              <w:t xml:space="preserve">Lab.: base 1</w:t>
            </w:r>
          </w:p>
        </w:tc>
      </w:tr>
      <w:tr>
        <w:trPr>
          <w:cantSplit/>
        </w:trPr>
        <w:tc>
          <w:tcPr>
            <w:tcW w:type="dxa" w:w="1900"/>
            <w:tcMar>
              <w:top w:type="dxa" w:w="50"/>
              <w:left w:type="dxa" w:w="90"/>
              <w:bottom w:type="dxa" w:w="50"/>
              <w:right w:type="dxa" w:w="90"/>
            </w:tcMar>
            <w:vAlign w:val="center"/>
          </w:tcPr>
          <w:p>
            <w:pPr>
              <w:spacing w:after="20"/>
              <w:jc w:val="left"/>
            </w:pPr>
            <w:r>
              <w:rPr>
                <w:b/>
                <w:bCs/>
                <w:sz w:val="18"/>
                <w:szCs w:val="18"/>
              </w:rPr>
              <w:t xml:space="preserve">MAE (pp)</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8,4</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8,7</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8,4</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3,8</w:t>
            </w:r>
          </w:p>
        </w:tc>
        <w:tc>
          <w:tcPr>
            <w:tcW w:type="dxa" w:w="1230"/>
            <w:tcMar>
              <w:top w:type="dxa" w:w="50"/>
              <w:left w:type="dxa" w:w="90"/>
              <w:bottom w:type="dxa" w:w="50"/>
              <w:right w:type="dxa" w:w="90"/>
            </w:tcMar>
            <w:vAlign w:val="center"/>
          </w:tcPr>
          <w:p>
            <w:pPr>
              <w:spacing w:after="20"/>
              <w:jc w:val="right"/>
            </w:pPr>
            <w:r>
              <w:rPr>
                <w:b w:val="false"/>
                <w:bCs w:val="false"/>
                <w:sz w:val="18"/>
                <w:szCs w:val="18"/>
              </w:rPr>
              <w:t xml:space="preserve">4,1</w:t>
            </w:r>
          </w:p>
        </w:tc>
        <w:tc>
          <w:tcPr>
            <w:tcW w:type="dxa" w:w="1230"/>
            <w:tcMar>
              <w:top w:type="dxa" w:w="50"/>
              <w:left w:type="dxa" w:w="90"/>
              <w:bottom w:type="dxa" w:w="50"/>
              <w:right w:type="dxa" w:w="90"/>
            </w:tcMar>
            <w:vAlign w:val="center"/>
          </w:tcPr>
          <w:p>
            <w:pPr>
              <w:spacing w:after="20"/>
              <w:jc w:val="right"/>
            </w:pPr>
            <w:r>
              <w:rPr>
                <w:b w:val="false"/>
                <w:bCs w:val="false"/>
                <w:sz w:val="18"/>
                <w:szCs w:val="18"/>
              </w:rPr>
              <w:t xml:space="preserve">6,3</w:t>
            </w:r>
          </w:p>
        </w:tc>
      </w:tr>
      <w:tr>
        <w:trPr>
          <w:cantSplit/>
        </w:trPr>
        <w:tc>
          <w:tcPr>
            <w:tcW w:type="dxa" w:w="1900"/>
            <w:tcMar>
              <w:top w:type="dxa" w:w="50"/>
              <w:left w:type="dxa" w:w="90"/>
              <w:bottom w:type="dxa" w:w="50"/>
              <w:right w:type="dxa" w:w="90"/>
            </w:tcMar>
            <w:vAlign w:val="center"/>
          </w:tcPr>
          <w:p>
            <w:pPr>
              <w:spacing w:after="20"/>
              <w:jc w:val="left"/>
            </w:pPr>
            <w:r>
              <w:rPr>
                <w:b/>
                <w:bCs/>
                <w:sz w:val="18"/>
                <w:szCs w:val="18"/>
              </w:rPr>
              <w:t xml:space="preserve">RMSE (pp)</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9,5</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9,8</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9,3</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4,9</w:t>
            </w:r>
          </w:p>
        </w:tc>
        <w:tc>
          <w:tcPr>
            <w:tcW w:type="dxa" w:w="1230"/>
            <w:tcMar>
              <w:top w:type="dxa" w:w="50"/>
              <w:left w:type="dxa" w:w="90"/>
              <w:bottom w:type="dxa" w:w="50"/>
              <w:right w:type="dxa" w:w="90"/>
            </w:tcMar>
            <w:vAlign w:val="center"/>
          </w:tcPr>
          <w:p>
            <w:pPr>
              <w:spacing w:after="20"/>
              <w:jc w:val="right"/>
            </w:pPr>
            <w:r>
              <w:rPr>
                <w:b w:val="false"/>
                <w:bCs w:val="false"/>
                <w:sz w:val="18"/>
                <w:szCs w:val="18"/>
              </w:rPr>
              <w:t xml:space="preserve">5,4</w:t>
            </w:r>
          </w:p>
        </w:tc>
        <w:tc>
          <w:tcPr>
            <w:tcW w:type="dxa" w:w="1230"/>
            <w:tcMar>
              <w:top w:type="dxa" w:w="50"/>
              <w:left w:type="dxa" w:w="90"/>
              <w:bottom w:type="dxa" w:w="50"/>
              <w:right w:type="dxa" w:w="90"/>
            </w:tcMar>
            <w:vAlign w:val="center"/>
          </w:tcPr>
          <w:p>
            <w:pPr>
              <w:spacing w:after="20"/>
              <w:jc w:val="right"/>
            </w:pPr>
            <w:r>
              <w:rPr>
                <w:b w:val="false"/>
                <w:bCs w:val="false"/>
                <w:sz w:val="18"/>
                <w:szCs w:val="18"/>
              </w:rPr>
              <w:t xml:space="preserve">7,6</w:t>
            </w:r>
          </w:p>
        </w:tc>
      </w:tr>
      <w:tr>
        <w:trPr>
          <w:cantSplit/>
        </w:trPr>
        <w:tc>
          <w:tcPr>
            <w:tcW w:type="dxa" w:w="1900"/>
            <w:tcMar>
              <w:top w:type="dxa" w:w="50"/>
              <w:left w:type="dxa" w:w="90"/>
              <w:bottom w:type="dxa" w:w="50"/>
              <w:right w:type="dxa" w:w="90"/>
            </w:tcMar>
            <w:vAlign w:val="center"/>
          </w:tcPr>
          <w:p>
            <w:pPr>
              <w:spacing w:after="20"/>
              <w:jc w:val="left"/>
            </w:pPr>
            <w:r>
              <w:rPr>
                <w:b/>
                <w:bCs/>
                <w:sz w:val="18"/>
                <w:szCs w:val="18"/>
              </w:rPr>
              <w:t xml:space="preserve">Sesgo (pp)</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+1,7</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+1,6</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+0,5</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+1,9</w:t>
            </w:r>
          </w:p>
        </w:tc>
        <w:tc>
          <w:tcPr>
            <w:tcW w:type="dxa" w:w="1230"/>
            <w:tcMar>
              <w:top w:type="dxa" w:w="50"/>
              <w:left w:type="dxa" w:w="90"/>
              <w:bottom w:type="dxa" w:w="50"/>
              <w:right w:type="dxa" w:w="90"/>
            </w:tcMar>
            <w:vAlign w:val="center"/>
          </w:tcPr>
          <w:p>
            <w:pPr>
              <w:spacing w:after="20"/>
              <w:jc w:val="right"/>
            </w:pPr>
            <w:r>
              <w:rPr>
                <w:b w:val="false"/>
                <w:bCs w:val="false"/>
                <w:sz w:val="18"/>
                <w:szCs w:val="18"/>
              </w:rPr>
              <w:t xml:space="preserve">+1,0</w:t>
            </w:r>
          </w:p>
        </w:tc>
        <w:tc>
          <w:tcPr>
            <w:tcW w:type="dxa" w:w="1230"/>
            <w:tcMar>
              <w:top w:type="dxa" w:w="50"/>
              <w:left w:type="dxa" w:w="90"/>
              <w:bottom w:type="dxa" w:w="50"/>
              <w:right w:type="dxa" w:w="90"/>
            </w:tcMar>
            <w:vAlign w:val="center"/>
          </w:tcPr>
          <w:p>
            <w:pPr>
              <w:spacing w:after="20"/>
              <w:jc w:val="right"/>
            </w:pPr>
            <w:r>
              <w:rPr>
                <w:b w:val="false"/>
                <w:bCs w:val="false"/>
                <w:sz w:val="18"/>
                <w:szCs w:val="18"/>
              </w:rPr>
              <w:t xml:space="preserve">−1,1</w:t>
            </w:r>
          </w:p>
        </w:tc>
      </w:tr>
      <w:tr>
        <w:trPr>
          <w:cantSplit/>
        </w:trPr>
        <w:tc>
          <w:tcPr>
            <w:tcW w:type="dxa" w:w="1900"/>
            <w:tcMar>
              <w:top w:type="dxa" w:w="50"/>
              <w:left w:type="dxa" w:w="90"/>
              <w:bottom w:type="dxa" w:w="50"/>
              <w:right w:type="dxa" w:w="90"/>
            </w:tcMar>
            <w:vAlign w:val="center"/>
          </w:tcPr>
          <w:p>
            <w:pPr>
              <w:spacing w:after="20"/>
              <w:jc w:val="left"/>
            </w:pPr>
            <w:r>
              <w:rPr>
                <w:b/>
                <w:bCs/>
                <w:sz w:val="18"/>
                <w:szCs w:val="18"/>
              </w:rPr>
              <w:t xml:space="preserve">Acierto de escenario*</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38%</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38%</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83%</w:t>
            </w:r>
          </w:p>
        </w:tc>
        <w:tc>
          <w:tcPr>
            <w:tcW w:type="dxa" w:w="1230"/>
            <w:tcMar>
              <w:top w:type="dxa" w:w="50"/>
              <w:left w:type="dxa" w:w="90"/>
              <w:bottom w:type="dxa" w:w="50"/>
              <w:right w:type="dxa" w:w="90"/>
            </w:tcMar>
            <w:vAlign w:val="center"/>
          </w:tcPr>
          <w:p>
            <w:pPr>
              <w:spacing w:after="20"/>
              <w:jc w:val="right"/>
            </w:pPr>
            <w:r>
              <w:rPr>
                <w:b w:val="false"/>
                <w:bCs w:val="false"/>
                <w:sz w:val="18"/>
                <w:szCs w:val="18"/>
              </w:rPr>
              <w:t xml:space="preserve">83%</w:t>
            </w:r>
          </w:p>
        </w:tc>
        <w:tc>
          <w:tcPr>
            <w:tcW w:type="dxa" w:w="1230"/>
            <w:tcMar>
              <w:top w:type="dxa" w:w="50"/>
              <w:left w:type="dxa" w:w="90"/>
              <w:bottom w:type="dxa" w:w="50"/>
              <w:right w:type="dxa" w:w="90"/>
            </w:tcMar>
            <w:vAlign w:val="center"/>
          </w:tcPr>
          <w:p>
            <w:pPr>
              <w:spacing w:after="20"/>
              <w:jc w:val="right"/>
            </w:pPr>
            <w:r>
              <w:rPr>
                <w:b w:val="false"/>
                <w:bCs w:val="false"/>
                <w:sz w:val="18"/>
                <w:szCs w:val="18"/>
              </w:rPr>
              <w:t xml:space="preserve">–</w:t>
            </w:r>
          </w:p>
        </w:tc>
      </w:tr>
      <w:tr>
        <w:trPr>
          <w:cantSplit/>
        </w:trPr>
        <w:tc>
          <w:tcPr>
            <w:tcW w:type="dxa" w:w="1900"/>
            <w:tcMar>
              <w:top w:type="dxa" w:w="50"/>
              <w:left w:type="dxa" w:w="90"/>
              <w:bottom w:type="dxa" w:w="50"/>
              <w:right w:type="dxa" w:w="90"/>
            </w:tcMar>
            <w:vAlign w:val="center"/>
          </w:tcPr>
          <w:p>
            <w:pPr>
              <w:spacing w:after="20"/>
              <w:jc w:val="left"/>
            </w:pPr>
            <w:r>
              <w:rPr>
                <w:b/>
                <w:bCs/>
                <w:sz w:val="18"/>
                <w:szCs w:val="18"/>
              </w:rPr>
              <w:t xml:space="preserve">Costo medio*</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1,08</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1,08</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w:t>
            </w:r>
          </w:p>
        </w:tc>
        <w:tc>
          <w:tcPr>
            <w:tcW w:type="dxa" w:w="1250"/>
            <w:tcMar>
              <w:top w:type="dxa" w:w="50"/>
              <w:left w:type="dxa" w:w="90"/>
              <w:bottom w:type="dxa" w:w="50"/>
              <w:right w:type="dxa" w:w="90"/>
            </w:tcMar>
            <w:vAlign w:val="center"/>
          </w:tcPr>
          <w:p>
            <w:pPr>
              <w:spacing w:after="20"/>
              <w:jc w:val="right"/>
            </w:pPr>
            <w:r>
              <w:rPr>
                <w:b w:val="false"/>
                <w:bCs w:val="false"/>
                <w:sz w:val="18"/>
                <w:szCs w:val="18"/>
              </w:rPr>
              <w:t xml:space="preserve">0,17</w:t>
            </w:r>
          </w:p>
        </w:tc>
        <w:tc>
          <w:tcPr>
            <w:tcW w:type="dxa" w:w="1230"/>
            <w:tcMar>
              <w:top w:type="dxa" w:w="50"/>
              <w:left w:type="dxa" w:w="90"/>
              <w:bottom w:type="dxa" w:w="50"/>
              <w:right w:type="dxa" w:w="90"/>
            </w:tcMar>
            <w:vAlign w:val="center"/>
          </w:tcPr>
          <w:p>
            <w:pPr>
              <w:spacing w:after="20"/>
              <w:jc w:val="right"/>
            </w:pPr>
            <w:r>
              <w:rPr>
                <w:b w:val="false"/>
                <w:bCs w:val="false"/>
                <w:sz w:val="18"/>
                <w:szCs w:val="18"/>
              </w:rPr>
              <w:t xml:space="preserve">0,17</w:t>
            </w:r>
          </w:p>
        </w:tc>
        <w:tc>
          <w:tcPr>
            <w:tcW w:type="dxa" w:w="1230"/>
            <w:tcMar>
              <w:top w:type="dxa" w:w="50"/>
              <w:left w:type="dxa" w:w="90"/>
              <w:bottom w:type="dxa" w:w="50"/>
              <w:right w:type="dxa" w:w="90"/>
            </w:tcMar>
            <w:vAlign w:val="center"/>
          </w:tcPr>
          <w:p>
            <w:pPr>
              <w:spacing w:after="20"/>
              <w:jc w:val="right"/>
            </w:pPr>
            <w:r>
              <w:rPr>
                <w:b w:val="false"/>
                <w:bCs w:val="false"/>
                <w:sz w:val="18"/>
                <w:szCs w:val="18"/>
              </w:rPr>
              <w:t xml:space="preserve">–</w:t>
            </w:r>
          </w:p>
        </w:tc>
      </w:tr>
    </w:tbl>
    <w:p>
      <w:pPr>
        <w:spacing w:after="200" w:before="60"/>
      </w:pPr>
      <w:r>
        <w:rPr>
          <w:i/>
          <w:iCs/>
          <w:color w:val="5E6E69"/>
          <w:sz w:val="18"/>
          <w:szCs w:val="18"/>
        </w:rPr>
        <w:t xml:space="preserve">*Escenario asignado sin descuento de prudencia (m = 0). Laboratorio evaluado con el crecimiento del mercado proyectado por el modelo de mercado (no el observado). n = 24 por tarea (6 meses × 4 especies), con ventanas solapadas: el número efectivo de observaciones independientes es mucho menor. Con el descuento m recomendado por validación el laboratorio obtuvo acierto de 75% y costo 0,29.</w:t>
      </w:r>
    </w:p>
    <w:p>
      <w:pPr>
        <w:keepNext/>
        <w:spacing w:after="40" w:before="80"/>
        <w:jc w:val="center"/>
      </w:pPr>
      <w:r>
        <w:drawing>
          <wp:inline distT="0" distB="0" distL="0" distR="0">
            <wp:extent cx="5715000" cy="3171825"/>
            <wp:effectExtent t="0" r="0" b="0" l="0"/>
            <wp:docPr id="1" name="f5_prueba.png" descr="f5_prueba.png" title="f5_prue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71825"/>
                    </a:xfrm>
                    <a:prstGeom prst="rect">
                      <a:avLst/>
                    </a:prstGeom>
                  </pic:spPr>
                </pic:pic>
              </a:graphicData>
            </a:graphic>
          </wp:inline>
        </w:drawing>
      </w:r>
    </w:p>
    <w:p>
      <w:pPr>
        <w:spacing w:after="200" w:before="60"/>
      </w:pPr>
      <w:r>
        <w:rPr>
          <w:i/>
          <w:iCs/>
          <w:color w:val="5E6E69"/>
          <w:sz w:val="18"/>
          <w:szCs w:val="18"/>
        </w:rPr>
        <w:t xml:space="preserve">Figura 6. Crecimiento de 12 meses real y predicho en la prueba, por especie y tarea. Líneas punteadas grises: umbrales de 8% y 15%.</w:t>
      </w:r>
    </w:p>
    <w:p>
      <w:pPr>
        <w:pStyle w:val="ListParagraph"/>
        <w:numPr>
          <w:ilvl w:val="0"/>
          <w:numId w:val="2"/>
        </w:numPr>
        <w:spacing w:after="60" w:line="264"/>
      </w:pPr>
      <w:r>
        <w:rPr>
          <w:b/>
          <w:bCs/>
        </w:rPr>
        <w:t xml:space="preserve">Mercado.</w:t>
      </w:r>
      <w:r>
        <w:t xml:space="preserve"> El modelo (8,4 pp) no mejora a las líneas base (8,7 y 8,4 pp), y el error es casi el doble del de validación cruzada (4,9 pp). Por especie: Animales de compañía 6,3; Bovinos 8,0; Aves 13,4; Cerdos 5,8 pp. Aves explica la mayor parte: el modelo predice crecimiento positivo y el mercado cayó. La predicción es casi plana, mientras que la realidad de 2026 cambió de tendencia dentro del semestre.</w:t>
      </w:r>
    </w:p>
    <w:p>
      <w:pPr>
        <w:pStyle w:val="ListParagraph"/>
        <w:numPr>
          <w:ilvl w:val="0"/>
          <w:numId w:val="2"/>
        </w:numPr>
        <w:spacing w:after="60" w:line="264"/>
      </w:pPr>
      <w:r>
        <w:rPr>
          <w:b/>
          <w:bCs/>
        </w:rPr>
        <w:t xml:space="preserve">Detección de escenarios.</w:t>
      </w:r>
      <w:r>
        <w:t xml:space="preserve"> En el mercado, el modelo y la base 2 dan exactamente la misma clasificación: 38% de aciertos y ninguno de los 7 casos "regular" detectado (seis de ellos son aves). El modelo no debe usarse como alarma de bajo crecimiento.</w:t>
      </w:r>
    </w:p>
    <w:p>
      <w:pPr>
        <w:pStyle w:val="ListParagraph"/>
        <w:numPr>
          <w:ilvl w:val="0"/>
          <w:numId w:val="2"/>
        </w:numPr>
        <w:spacing w:after="60" w:line="264"/>
      </w:pPr>
      <w:r>
        <w:rPr>
          <w:b/>
          <w:bCs/>
        </w:rPr>
        <w:t xml:space="preserve">Laboratorio.</w:t>
      </w:r>
      <w:r>
        <w:t xml:space="preserve"> El modelo (3,8 pp) mejora a las dos bases en MAE (4,1 y 6,3 pp), con sesgo positivo de 1,9 pp. La mejora sobre la base 2 es pequeña (0,2 pp) y en la clasificación de escenarios empata con ella (acierto 83%, costo 0,17); solo la mejora sobre la base 1 es clara. Error por especie: Animales de compañía 4,3; Bovinos 2,2; Aves 2,0; Cerdos 6,8 pp.</w:t>
      </w:r>
    </w:p>
    <w:p>
      <w:pPr>
        <w:pStyle w:val="ListParagraph"/>
        <w:numPr>
          <w:ilvl w:val="0"/>
          <w:numId w:val="2"/>
        </w:numPr>
        <w:spacing w:after="60" w:line="264"/>
      </w:pPr>
      <w:r>
        <w:rPr>
          <w:b/>
          <w:bCs/>
        </w:rPr>
        <w:t xml:space="preserve">Usar el mercado proyectado en lugar del observado casi no cambia el resultado del laboratorio</w:t>
      </w:r>
      <w:r>
        <w:t xml:space="preserve"> (3,8 pp frente a 3,8 pp), lo que indica que el modelo del laboratorio depende poco del crecimiento del mercado.</w:t>
      </w:r>
    </w:p>
    <w:p>
      <w:pPr>
        <w:pStyle w:val="Heading1"/>
        <w:spacing w:after="200" w:before="480"/>
      </w:pPr>
      <w:r>
        <w:t xml:space="preserve">6. Decisión, límites y gobernanza</w:t>
      </w:r>
    </w:p>
    <w:p>
      <w:pPr>
        <w:pStyle w:val="Heading2"/>
      </w:pPr>
      <w:r>
        <w:t xml:space="preserve">6.1 Recomendación</w:t>
      </w:r>
    </w:p>
    <w:p>
      <w:pPr>
        <w:pBdr>
          <w:left w:val="single" w:color="0B5D4F" w:sz="24" w:space="8"/>
        </w:pBdr>
        <w:shd w:fill="EEF5F3" w:color="auto" w:val="clear"/>
        <w:spacing w:after="160" w:before="80" w:line="276"/>
        <w:ind w:left="160" w:right="80"/>
      </w:pPr>
      <w:r>
        <w:rPr>
          <w:b/>
          <w:bCs/>
        </w:rPr>
        <w:t xml:space="preserve">Recomendación para quien decide:</w:t>
      </w:r>
      <w:r>
        <w:t xml:space="preserve"> usar la proyección 2027 como </w:t>
      </w:r>
      <w:r>
        <w:rPr>
          <w:b/>
          <w:bCs/>
        </w:rPr>
        <w:t xml:space="preserve">referencia central con rango</w:t>
      </w:r>
      <w:r>
        <w:t xml:space="preserve"> para el presupuesto y la planeación de inventarios, y no como meta ni como base de compensación. Probar el plan en un rango de ±6 pp alrededor de la proyección del mercado y de ±5 pp alrededor de la del laboratorio (margen típico de error). No fijar metas por especie con los números sin revisarlos con el equipo comercial, sobre todo en bovinos.</w:t>
      </w:r>
    </w:p>
    <w:p>
      <w:pPr>
        <w:pStyle w:val="ListParagraph"/>
        <w:numPr>
          <w:ilvl w:val="0"/>
          <w:numId w:val="4"/>
        </w:numPr>
        <w:spacing w:after="60" w:line="264"/>
      </w:pPr>
      <w:r>
        <w:rPr>
          <w:b/>
          <w:bCs/>
        </w:rPr>
        <w:t xml:space="preserve">Aprobar el uso como insumo, no como compromiso.</w:t>
      </w:r>
      <w:r>
        <w:t xml:space="preserve"> El modelo mejora a las prácticas simples en el laboratorio (sobre todo frente a repetir el crecimiento del año anterior) y las iguala en el mercado.</w:t>
      </w:r>
    </w:p>
    <w:p>
      <w:pPr>
        <w:pStyle w:val="ListParagraph"/>
        <w:numPr>
          <w:ilvl w:val="0"/>
          <w:numId w:val="4"/>
        </w:numPr>
        <w:spacing w:after="60" w:line="264"/>
      </w:pPr>
      <w:r>
        <w:rPr>
          <w:b/>
          <w:bCs/>
        </w:rPr>
        <w:t xml:space="preserve">No actuar sobre la alerta de escenario "regular".</w:t>
      </w:r>
      <w:r>
        <w:t xml:space="preserve"> El modelo no la detecta en el mercado (0 de 7 casos en la prueba y 0 de 9 en validación cruzada).</w:t>
      </w:r>
    </w:p>
    <w:p>
      <w:pPr>
        <w:pStyle w:val="ListParagraph"/>
        <w:numPr>
          <w:ilvl w:val="0"/>
          <w:numId w:val="4"/>
        </w:numPr>
        <w:spacing w:after="60" w:line="264"/>
      </w:pPr>
      <w:r>
        <w:rPr>
          <w:b/>
          <w:bCs/>
        </w:rPr>
        <w:t xml:space="preserve">Revalidar en el primer trimestre de 2027</w:t>
      </w:r>
      <w:r>
        <w:t xml:space="preserve"> con los datos reales de julio a diciembre de 2026, que son la prueba verdaderamente nueva, y recalcular el descuento de prudencia.</w:t>
      </w:r>
    </w:p>
    <w:p>
      <w:pPr>
        <w:pStyle w:val="ListParagraph"/>
        <w:numPr>
          <w:ilvl w:val="0"/>
          <w:numId w:val="4"/>
        </w:numPr>
        <w:spacing w:after="60" w:line="264"/>
      </w:pPr>
      <w:r>
        <w:rPr>
          <w:b/>
          <w:bCs/>
        </w:rPr>
        <w:t xml:space="preserve">Alimentar el simulador con pronósticos oficiales</w:t>
      </w:r>
      <w:r>
        <w:t xml:space="preserve"> de inflación, PIB y salario mínimo 2027 y actualizarlos cuando cambien.</w:t>
      </w:r>
    </w:p>
    <w:p>
      <w:pPr>
        <w:pStyle w:val="ListParagraph"/>
        <w:numPr>
          <w:ilvl w:val="0"/>
          <w:numId w:val="4"/>
        </w:numPr>
        <w:spacing w:after="60" w:line="264"/>
      </w:pPr>
      <w:r>
        <w:rPr>
          <w:b/>
          <w:bCs/>
        </w:rPr>
        <w:t xml:space="preserve">Reunir más historia y más variables</w:t>
      </w:r>
      <w:r>
        <w:t xml:space="preserve"> (precios por producto, canales, eventos sanitarios) antes de pedirle al modelo efectos causales.</w:t>
      </w:r>
    </w:p>
    <w:p>
      <w:pPr>
        <w:pStyle w:val="Heading2"/>
      </w:pPr>
      <w:r>
        <w:t xml:space="preserve">6.2 Proyección 2027, escenario base</w:t>
      </w:r>
    </w:p>
    <w:p>
      <w:pPr>
        <w:spacing w:after="120" w:line="276"/>
      </w:pPr>
      <w:r>
        <w:t xml:space="preserve">Valores base de 2027: inflación 5,1% (mediana de la encuesta de analistas del Banco de la República para diciembre de 2027; el equipo técnico del Banco proyecta 4,3% y el Gobierno 4,8%), PIB 2,3% (BBVA Research; consenso de analistas entre 1,8% y 2,6%), PIB agropecuario 2,7% y salario mínimo 11,9% (promedios históricos, sin pronóstico público), y precios en su nivel de junio de 2026 durante todo 2027. Las cifras de inflación y PIB provienen de reportes de prensa y de análisis; no pudieron verificarse en las páginas oficiales del DANE ni de Porkcolombia desde el entorno de trabajo. </w:t>
      </w:r>
      <w:r>
        <w:rPr>
          <w:highlight w:val="yellow"/>
          <w:highlightCs w:val="yellow"/>
        </w:rPr>
        <w:t xml:space="preserve">[Confirmar contra fuentes oficiales]</w:t>
      </w:r>
      <w:r>
        <w:t xml:space="preserve">.</w:t>
      </w:r>
    </w:p>
    <w:p>
      <w:pPr>
        <w:keepNext/>
        <w:spacing w:after="60" w:before="160"/>
      </w:pPr>
      <w:r>
        <w:rPr>
          <w:b/>
          <w:bCs/>
          <w:color w:val="13201C"/>
          <w:sz w:val="19"/>
          <w:szCs w:val="19"/>
        </w:rPr>
        <w:t xml:space="preserve">Tabla 7. Crecimiento nominal proyectado 2027 (modelo final, escenario base)</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100"/>
        <w:gridCol w:w="1200"/>
        <w:gridCol w:w="1300"/>
        <w:gridCol w:w="1300"/>
        <w:gridCol w:w="1300"/>
        <w:gridCol w:w="2160"/>
      </w:tblGrid>
      <w:tr>
        <w:trPr>
          <w:cantSplit/>
          <w:tblHeader/>
        </w:trPr>
        <w:tc>
          <w:tcPr>
            <w:tcW w:type="dxa" w:w="2100"/>
            <w:shd w:fill="E4EEEB" w:color="auto" w:val="clear"/>
            <w:tcMar>
              <w:top w:type="dxa" w:w="50"/>
              <w:left w:type="dxa" w:w="90"/>
              <w:bottom w:type="dxa" w:w="50"/>
              <w:right w:type="dxa" w:w="90"/>
            </w:tcMar>
            <w:vAlign w:val="center"/>
          </w:tcPr>
          <w:p>
            <w:pPr>
              <w:spacing w:after="20"/>
              <w:jc w:val="left"/>
            </w:pPr>
            <w:r>
              <w:rPr>
                <w:b/>
                <w:bCs/>
                <w:sz w:val="18"/>
                <w:szCs w:val="18"/>
              </w:rPr>
              <w:t xml:space="preserve">Especie</w:t>
            </w:r>
          </w:p>
        </w:tc>
        <w:tc>
          <w:tcPr>
            <w:tcW w:type="dxa" w:w="1200"/>
            <w:shd w:fill="E4EEEB" w:color="auto" w:val="clear"/>
            <w:tcMar>
              <w:top w:type="dxa" w:w="50"/>
              <w:left w:type="dxa" w:w="90"/>
              <w:bottom w:type="dxa" w:w="50"/>
              <w:right w:type="dxa" w:w="90"/>
            </w:tcMar>
            <w:vAlign w:val="center"/>
          </w:tcPr>
          <w:p>
            <w:pPr>
              <w:spacing w:after="20"/>
              <w:jc w:val="right"/>
            </w:pPr>
            <w:r>
              <w:rPr>
                <w:b/>
                <w:bCs/>
                <w:sz w:val="18"/>
                <w:szCs w:val="18"/>
              </w:rPr>
              <w:t xml:space="preserve">Mercado</w:t>
            </w:r>
          </w:p>
        </w:tc>
        <w:tc>
          <w:tcPr>
            <w:tcW w:type="dxa" w:w="1300"/>
            <w:shd w:fill="E4EEEB" w:color="auto" w:val="clear"/>
            <w:tcMar>
              <w:top w:type="dxa" w:w="50"/>
              <w:left w:type="dxa" w:w="90"/>
              <w:bottom w:type="dxa" w:w="50"/>
              <w:right w:type="dxa" w:w="90"/>
            </w:tcMar>
            <w:vAlign w:val="center"/>
          </w:tcPr>
          <w:p>
            <w:pPr>
              <w:spacing w:after="20"/>
              <w:jc w:val="left"/>
            </w:pPr>
            <w:r>
              <w:rPr>
                <w:b/>
                <w:bCs/>
                <w:sz w:val="18"/>
                <w:szCs w:val="18"/>
              </w:rPr>
              <w:t xml:space="preserve">Escenario</w:t>
            </w:r>
          </w:p>
        </w:tc>
        <w:tc>
          <w:tcPr>
            <w:tcW w:type="dxa" w:w="1300"/>
            <w:shd w:fill="E4EEEB" w:color="auto" w:val="clear"/>
            <w:tcMar>
              <w:top w:type="dxa" w:w="50"/>
              <w:left w:type="dxa" w:w="90"/>
              <w:bottom w:type="dxa" w:w="50"/>
              <w:right w:type="dxa" w:w="90"/>
            </w:tcMar>
            <w:vAlign w:val="center"/>
          </w:tcPr>
          <w:p>
            <w:pPr>
              <w:spacing w:after="20"/>
              <w:jc w:val="right"/>
            </w:pPr>
            <w:r>
              <w:rPr>
                <w:b/>
                <w:bCs/>
                <w:sz w:val="18"/>
                <w:szCs w:val="18"/>
              </w:rPr>
              <w:t xml:space="preserve">Laboratorio</w:t>
            </w:r>
          </w:p>
        </w:tc>
        <w:tc>
          <w:tcPr>
            <w:tcW w:type="dxa" w:w="1300"/>
            <w:shd w:fill="E4EEEB" w:color="auto" w:val="clear"/>
            <w:tcMar>
              <w:top w:type="dxa" w:w="50"/>
              <w:left w:type="dxa" w:w="90"/>
              <w:bottom w:type="dxa" w:w="50"/>
              <w:right w:type="dxa" w:w="90"/>
            </w:tcMar>
            <w:vAlign w:val="center"/>
          </w:tcPr>
          <w:p>
            <w:pPr>
              <w:spacing w:after="20"/>
              <w:jc w:val="left"/>
            </w:pPr>
            <w:r>
              <w:rPr>
                <w:b/>
                <w:bCs/>
                <w:sz w:val="18"/>
                <w:szCs w:val="18"/>
              </w:rPr>
              <w:t xml:space="preserve">Escenario</w:t>
            </w:r>
          </w:p>
        </w:tc>
        <w:tc>
          <w:tcPr>
            <w:tcW w:type="dxa" w:w="2160"/>
            <w:shd w:fill="E4EEEB" w:color="auto" w:val="clear"/>
            <w:tcMar>
              <w:top w:type="dxa" w:w="50"/>
              <w:left w:type="dxa" w:w="90"/>
              <w:bottom w:type="dxa" w:w="50"/>
              <w:right w:type="dxa" w:w="90"/>
            </w:tcMar>
            <w:vAlign w:val="center"/>
          </w:tcPr>
          <w:p>
            <w:pPr>
              <w:spacing w:after="20"/>
              <w:jc w:val="left"/>
            </w:pPr>
            <w:r>
              <w:rPr>
                <w:b/>
                <w:bCs/>
                <w:sz w:val="18"/>
                <w:szCs w:val="18"/>
              </w:rPr>
              <w:t xml:space="preserve">Error típico mercado / lab. (pp)</w:t>
            </w:r>
          </w:p>
        </w:tc>
      </w:tr>
      <w:tr>
        <w:trPr>
          <w:cantSplit/>
        </w:trPr>
        <w:tc>
          <w:tcPr>
            <w:tcW w:type="dxa" w:w="2100"/>
            <w:tcMar>
              <w:top w:type="dxa" w:w="50"/>
              <w:left w:type="dxa" w:w="90"/>
              <w:bottom w:type="dxa" w:w="50"/>
              <w:right w:type="dxa" w:w="90"/>
            </w:tcMar>
            <w:vAlign w:val="center"/>
          </w:tcPr>
          <w:p>
            <w:pPr>
              <w:spacing w:after="20"/>
              <w:jc w:val="left"/>
            </w:pPr>
            <w:r>
              <w:rPr>
                <w:b/>
                <w:bCs/>
                <w:sz w:val="18"/>
                <w:szCs w:val="18"/>
              </w:rPr>
              <w:t xml:space="preserve">Animales de compañía</w:t>
            </w:r>
          </w:p>
        </w:tc>
        <w:tc>
          <w:tcPr>
            <w:tcW w:type="dxa" w:w="1200"/>
            <w:tcMar>
              <w:top w:type="dxa" w:w="50"/>
              <w:left w:type="dxa" w:w="90"/>
              <w:bottom w:type="dxa" w:w="50"/>
              <w:right w:type="dxa" w:w="90"/>
            </w:tcMar>
            <w:vAlign w:val="center"/>
          </w:tcPr>
          <w:p>
            <w:pPr>
              <w:spacing w:after="20"/>
              <w:jc w:val="right"/>
            </w:pPr>
            <w:r>
              <w:rPr>
                <w:b w:val="false"/>
                <w:bCs w:val="false"/>
                <w:sz w:val="18"/>
                <w:szCs w:val="18"/>
              </w:rPr>
              <w:t xml:space="preserve">17,8%</w:t>
            </w:r>
          </w:p>
        </w:tc>
        <w:tc>
          <w:tcPr>
            <w:tcW w:type="dxa" w:w="1300"/>
            <w:tcMar>
              <w:top w:type="dxa" w:w="50"/>
              <w:left w:type="dxa" w:w="90"/>
              <w:bottom w:type="dxa" w:w="50"/>
              <w:right w:type="dxa" w:w="90"/>
            </w:tcMar>
            <w:vAlign w:val="center"/>
          </w:tcPr>
          <w:p>
            <w:pPr>
              <w:spacing w:after="20"/>
              <w:jc w:val="left"/>
            </w:pPr>
            <w:r>
              <w:rPr>
                <w:b w:val="false"/>
                <w:bCs w:val="false"/>
                <w:sz w:val="18"/>
                <w:szCs w:val="18"/>
              </w:rPr>
              <w:t xml:space="preserve">optimista</w:t>
            </w:r>
          </w:p>
        </w:tc>
        <w:tc>
          <w:tcPr>
            <w:tcW w:type="dxa" w:w="1300"/>
            <w:tcMar>
              <w:top w:type="dxa" w:w="50"/>
              <w:left w:type="dxa" w:w="90"/>
              <w:bottom w:type="dxa" w:w="50"/>
              <w:right w:type="dxa" w:w="90"/>
            </w:tcMar>
            <w:vAlign w:val="center"/>
          </w:tcPr>
          <w:p>
            <w:pPr>
              <w:spacing w:after="20"/>
              <w:jc w:val="right"/>
            </w:pPr>
            <w:r>
              <w:rPr>
                <w:b w:val="false"/>
                <w:bCs w:val="false"/>
                <w:sz w:val="18"/>
                <w:szCs w:val="18"/>
              </w:rPr>
              <w:t xml:space="preserve">20,8%</w:t>
            </w:r>
          </w:p>
        </w:tc>
        <w:tc>
          <w:tcPr>
            <w:tcW w:type="dxa" w:w="1300"/>
            <w:tcMar>
              <w:top w:type="dxa" w:w="50"/>
              <w:left w:type="dxa" w:w="90"/>
              <w:bottom w:type="dxa" w:w="50"/>
              <w:right w:type="dxa" w:w="90"/>
            </w:tcMar>
            <w:vAlign w:val="center"/>
          </w:tcPr>
          <w:p>
            <w:pPr>
              <w:spacing w:after="20"/>
              <w:jc w:val="left"/>
            </w:pPr>
            <w:r>
              <w:rPr>
                <w:b w:val="false"/>
                <w:bCs w:val="false"/>
                <w:sz w:val="18"/>
                <w:szCs w:val="18"/>
              </w:rPr>
              <w:t xml:space="preserve">optimista</w:t>
            </w:r>
          </w:p>
        </w:tc>
        <w:tc>
          <w:tcPr>
            <w:tcW w:type="dxa" w:w="2160"/>
            <w:tcMar>
              <w:top w:type="dxa" w:w="50"/>
              <w:left w:type="dxa" w:w="90"/>
              <w:bottom w:type="dxa" w:w="50"/>
              <w:right w:type="dxa" w:w="90"/>
            </w:tcMar>
            <w:vAlign w:val="center"/>
          </w:tcPr>
          <w:p>
            <w:pPr>
              <w:spacing w:after="20"/>
              <w:jc w:val="left"/>
            </w:pPr>
            <w:r>
              <w:rPr>
                <w:b w:val="false"/>
                <w:bCs w:val="false"/>
                <w:sz w:val="18"/>
                <w:szCs w:val="18"/>
              </w:rPr>
              <w:t xml:space="preserve">±6,7 / ±5,5</w:t>
            </w:r>
          </w:p>
        </w:tc>
      </w:tr>
      <w:tr>
        <w:trPr>
          <w:cantSplit/>
        </w:trPr>
        <w:tc>
          <w:tcPr>
            <w:tcW w:type="dxa" w:w="2100"/>
            <w:tcMar>
              <w:top w:type="dxa" w:w="50"/>
              <w:left w:type="dxa" w:w="90"/>
              <w:bottom w:type="dxa" w:w="50"/>
              <w:right w:type="dxa" w:w="90"/>
            </w:tcMar>
            <w:vAlign w:val="center"/>
          </w:tcPr>
          <w:p>
            <w:pPr>
              <w:spacing w:after="20"/>
              <w:jc w:val="left"/>
            </w:pPr>
            <w:r>
              <w:rPr>
                <w:b/>
                <w:bCs/>
                <w:sz w:val="18"/>
                <w:szCs w:val="18"/>
              </w:rPr>
              <w:t xml:space="preserve">Bovinos</w:t>
            </w:r>
          </w:p>
        </w:tc>
        <w:tc>
          <w:tcPr>
            <w:tcW w:type="dxa" w:w="1200"/>
            <w:tcMar>
              <w:top w:type="dxa" w:w="50"/>
              <w:left w:type="dxa" w:w="90"/>
              <w:bottom w:type="dxa" w:w="50"/>
              <w:right w:type="dxa" w:w="90"/>
            </w:tcMar>
            <w:vAlign w:val="center"/>
          </w:tcPr>
          <w:p>
            <w:pPr>
              <w:spacing w:after="20"/>
              <w:jc w:val="right"/>
            </w:pPr>
            <w:r>
              <w:rPr>
                <w:b w:val="false"/>
                <w:bCs w:val="false"/>
                <w:sz w:val="18"/>
                <w:szCs w:val="18"/>
              </w:rPr>
              <w:t xml:space="preserve">14,8%</w:t>
            </w:r>
          </w:p>
        </w:tc>
        <w:tc>
          <w:tcPr>
            <w:tcW w:type="dxa" w:w="1300"/>
            <w:tcMar>
              <w:top w:type="dxa" w:w="50"/>
              <w:left w:type="dxa" w:w="90"/>
              <w:bottom w:type="dxa" w:w="50"/>
              <w:right w:type="dxa" w:w="90"/>
            </w:tcMar>
            <w:vAlign w:val="center"/>
          </w:tcPr>
          <w:p>
            <w:pPr>
              <w:spacing w:after="20"/>
              <w:jc w:val="left"/>
            </w:pPr>
            <w:r>
              <w:rPr>
                <w:b w:val="false"/>
                <w:bCs w:val="false"/>
                <w:sz w:val="18"/>
                <w:szCs w:val="18"/>
              </w:rPr>
              <w:t xml:space="preserve">estable</w:t>
            </w:r>
          </w:p>
        </w:tc>
        <w:tc>
          <w:tcPr>
            <w:tcW w:type="dxa" w:w="1300"/>
            <w:tcMar>
              <w:top w:type="dxa" w:w="50"/>
              <w:left w:type="dxa" w:w="90"/>
              <w:bottom w:type="dxa" w:w="50"/>
              <w:right w:type="dxa" w:w="90"/>
            </w:tcMar>
            <w:vAlign w:val="center"/>
          </w:tcPr>
          <w:p>
            <w:pPr>
              <w:spacing w:after="20"/>
              <w:jc w:val="right"/>
            </w:pPr>
            <w:r>
              <w:rPr>
                <w:b w:val="false"/>
                <w:bCs w:val="false"/>
                <w:sz w:val="18"/>
                <w:szCs w:val="18"/>
              </w:rPr>
              <w:t xml:space="preserve">4,2%</w:t>
            </w:r>
          </w:p>
        </w:tc>
        <w:tc>
          <w:tcPr>
            <w:tcW w:type="dxa" w:w="1300"/>
            <w:tcMar>
              <w:top w:type="dxa" w:w="50"/>
              <w:left w:type="dxa" w:w="90"/>
              <w:bottom w:type="dxa" w:w="50"/>
              <w:right w:type="dxa" w:w="90"/>
            </w:tcMar>
            <w:vAlign w:val="center"/>
          </w:tcPr>
          <w:p>
            <w:pPr>
              <w:spacing w:after="20"/>
              <w:jc w:val="left"/>
            </w:pPr>
            <w:r>
              <w:rPr>
                <w:b w:val="false"/>
                <w:bCs w:val="false"/>
                <w:sz w:val="18"/>
                <w:szCs w:val="18"/>
              </w:rPr>
              <w:t xml:space="preserve">regular</w:t>
            </w:r>
          </w:p>
        </w:tc>
        <w:tc>
          <w:tcPr>
            <w:tcW w:type="dxa" w:w="2160"/>
            <w:tcMar>
              <w:top w:type="dxa" w:w="50"/>
              <w:left w:type="dxa" w:w="90"/>
              <w:bottom w:type="dxa" w:w="50"/>
              <w:right w:type="dxa" w:w="90"/>
            </w:tcMar>
            <w:vAlign w:val="center"/>
          </w:tcPr>
          <w:p>
            <w:pPr>
              <w:spacing w:after="20"/>
              <w:jc w:val="left"/>
            </w:pPr>
            <w:r>
              <w:rPr>
                <w:b w:val="false"/>
                <w:bCs w:val="false"/>
                <w:sz w:val="18"/>
                <w:szCs w:val="18"/>
              </w:rPr>
              <w:t xml:space="preserve">±5,7 / ±2,7</w:t>
            </w:r>
          </w:p>
        </w:tc>
      </w:tr>
      <w:tr>
        <w:trPr>
          <w:cantSplit/>
        </w:trPr>
        <w:tc>
          <w:tcPr>
            <w:tcW w:type="dxa" w:w="2100"/>
            <w:tcMar>
              <w:top w:type="dxa" w:w="50"/>
              <w:left w:type="dxa" w:w="90"/>
              <w:bottom w:type="dxa" w:w="50"/>
              <w:right w:type="dxa" w:w="90"/>
            </w:tcMar>
            <w:vAlign w:val="center"/>
          </w:tcPr>
          <w:p>
            <w:pPr>
              <w:spacing w:after="20"/>
              <w:jc w:val="left"/>
            </w:pPr>
            <w:r>
              <w:rPr>
                <w:b/>
                <w:bCs/>
                <w:sz w:val="18"/>
                <w:szCs w:val="18"/>
              </w:rPr>
              <w:t xml:space="preserve">Aves</w:t>
            </w:r>
          </w:p>
        </w:tc>
        <w:tc>
          <w:tcPr>
            <w:tcW w:type="dxa" w:w="1200"/>
            <w:tcMar>
              <w:top w:type="dxa" w:w="50"/>
              <w:left w:type="dxa" w:w="90"/>
              <w:bottom w:type="dxa" w:w="50"/>
              <w:right w:type="dxa" w:w="90"/>
            </w:tcMar>
            <w:vAlign w:val="center"/>
          </w:tcPr>
          <w:p>
            <w:pPr>
              <w:spacing w:after="20"/>
              <w:jc w:val="right"/>
            </w:pPr>
            <w:r>
              <w:rPr>
                <w:b w:val="false"/>
                <w:bCs w:val="false"/>
                <w:sz w:val="18"/>
                <w:szCs w:val="18"/>
              </w:rPr>
              <w:t xml:space="preserve">9,4%</w:t>
            </w:r>
          </w:p>
        </w:tc>
        <w:tc>
          <w:tcPr>
            <w:tcW w:type="dxa" w:w="1300"/>
            <w:tcMar>
              <w:top w:type="dxa" w:w="50"/>
              <w:left w:type="dxa" w:w="90"/>
              <w:bottom w:type="dxa" w:w="50"/>
              <w:right w:type="dxa" w:w="90"/>
            </w:tcMar>
            <w:vAlign w:val="center"/>
          </w:tcPr>
          <w:p>
            <w:pPr>
              <w:spacing w:after="20"/>
              <w:jc w:val="left"/>
            </w:pPr>
            <w:r>
              <w:rPr>
                <w:b w:val="false"/>
                <w:bCs w:val="false"/>
                <w:sz w:val="18"/>
                <w:szCs w:val="18"/>
              </w:rPr>
              <w:t xml:space="preserve">estable</w:t>
            </w:r>
          </w:p>
        </w:tc>
        <w:tc>
          <w:tcPr>
            <w:tcW w:type="dxa" w:w="1300"/>
            <w:tcMar>
              <w:top w:type="dxa" w:w="50"/>
              <w:left w:type="dxa" w:w="90"/>
              <w:bottom w:type="dxa" w:w="50"/>
              <w:right w:type="dxa" w:w="90"/>
            </w:tcMar>
            <w:vAlign w:val="center"/>
          </w:tcPr>
          <w:p>
            <w:pPr>
              <w:spacing w:after="20"/>
              <w:jc w:val="right"/>
            </w:pPr>
            <w:r>
              <w:rPr>
                <w:b w:val="false"/>
                <w:bCs w:val="false"/>
                <w:sz w:val="18"/>
                <w:szCs w:val="18"/>
              </w:rPr>
              <w:t xml:space="preserve">14,4%</w:t>
            </w:r>
          </w:p>
        </w:tc>
        <w:tc>
          <w:tcPr>
            <w:tcW w:type="dxa" w:w="1300"/>
            <w:tcMar>
              <w:top w:type="dxa" w:w="50"/>
              <w:left w:type="dxa" w:w="90"/>
              <w:bottom w:type="dxa" w:w="50"/>
              <w:right w:type="dxa" w:w="90"/>
            </w:tcMar>
            <w:vAlign w:val="center"/>
          </w:tcPr>
          <w:p>
            <w:pPr>
              <w:spacing w:after="20"/>
              <w:jc w:val="left"/>
            </w:pPr>
            <w:r>
              <w:rPr>
                <w:b w:val="false"/>
                <w:bCs w:val="false"/>
                <w:sz w:val="18"/>
                <w:szCs w:val="18"/>
              </w:rPr>
              <w:t xml:space="preserve">estable</w:t>
            </w:r>
          </w:p>
        </w:tc>
        <w:tc>
          <w:tcPr>
            <w:tcW w:type="dxa" w:w="2160"/>
            <w:tcMar>
              <w:top w:type="dxa" w:w="50"/>
              <w:left w:type="dxa" w:w="90"/>
              <w:bottom w:type="dxa" w:w="50"/>
              <w:right w:type="dxa" w:w="90"/>
            </w:tcMar>
            <w:vAlign w:val="center"/>
          </w:tcPr>
          <w:p>
            <w:pPr>
              <w:spacing w:after="20"/>
              <w:jc w:val="left"/>
            </w:pPr>
            <w:r>
              <w:rPr>
                <w:b w:val="false"/>
                <w:bCs w:val="false"/>
                <w:sz w:val="18"/>
                <w:szCs w:val="18"/>
              </w:rPr>
              <w:t xml:space="preserve">±8,3 / ±4,2</w:t>
            </w:r>
          </w:p>
        </w:tc>
      </w:tr>
      <w:tr>
        <w:trPr>
          <w:cantSplit/>
        </w:trPr>
        <w:tc>
          <w:tcPr>
            <w:tcW w:type="dxa" w:w="2100"/>
            <w:tcMar>
              <w:top w:type="dxa" w:w="50"/>
              <w:left w:type="dxa" w:w="90"/>
              <w:bottom w:type="dxa" w:w="50"/>
              <w:right w:type="dxa" w:w="90"/>
            </w:tcMar>
            <w:vAlign w:val="center"/>
          </w:tcPr>
          <w:p>
            <w:pPr>
              <w:spacing w:after="20"/>
              <w:jc w:val="left"/>
            </w:pPr>
            <w:r>
              <w:rPr>
                <w:b/>
                <w:bCs/>
                <w:sz w:val="18"/>
                <w:szCs w:val="18"/>
              </w:rPr>
              <w:t xml:space="preserve">Cerdos</w:t>
            </w:r>
          </w:p>
        </w:tc>
        <w:tc>
          <w:tcPr>
            <w:tcW w:type="dxa" w:w="1200"/>
            <w:tcMar>
              <w:top w:type="dxa" w:w="50"/>
              <w:left w:type="dxa" w:w="90"/>
              <w:bottom w:type="dxa" w:w="50"/>
              <w:right w:type="dxa" w:w="90"/>
            </w:tcMar>
            <w:vAlign w:val="center"/>
          </w:tcPr>
          <w:p>
            <w:pPr>
              <w:spacing w:after="20"/>
              <w:jc w:val="right"/>
            </w:pPr>
            <w:r>
              <w:rPr>
                <w:b w:val="false"/>
                <w:bCs w:val="false"/>
                <w:sz w:val="18"/>
                <w:szCs w:val="18"/>
              </w:rPr>
              <w:t xml:space="preserve">19,6%</w:t>
            </w:r>
          </w:p>
        </w:tc>
        <w:tc>
          <w:tcPr>
            <w:tcW w:type="dxa" w:w="1300"/>
            <w:tcMar>
              <w:top w:type="dxa" w:w="50"/>
              <w:left w:type="dxa" w:w="90"/>
              <w:bottom w:type="dxa" w:w="50"/>
              <w:right w:type="dxa" w:w="90"/>
            </w:tcMar>
            <w:vAlign w:val="center"/>
          </w:tcPr>
          <w:p>
            <w:pPr>
              <w:spacing w:after="20"/>
              <w:jc w:val="left"/>
            </w:pPr>
            <w:r>
              <w:rPr>
                <w:b w:val="false"/>
                <w:bCs w:val="false"/>
                <w:sz w:val="18"/>
                <w:szCs w:val="18"/>
              </w:rPr>
              <w:t xml:space="preserve">optimista</w:t>
            </w:r>
          </w:p>
        </w:tc>
        <w:tc>
          <w:tcPr>
            <w:tcW w:type="dxa" w:w="1300"/>
            <w:tcMar>
              <w:top w:type="dxa" w:w="50"/>
              <w:left w:type="dxa" w:w="90"/>
              <w:bottom w:type="dxa" w:w="50"/>
              <w:right w:type="dxa" w:w="90"/>
            </w:tcMar>
            <w:vAlign w:val="center"/>
          </w:tcPr>
          <w:p>
            <w:pPr>
              <w:spacing w:after="20"/>
              <w:jc w:val="right"/>
            </w:pPr>
            <w:r>
              <w:rPr>
                <w:b w:val="false"/>
                <w:bCs w:val="false"/>
                <w:sz w:val="18"/>
                <w:szCs w:val="18"/>
              </w:rPr>
              <w:t xml:space="preserve">28,1%</w:t>
            </w:r>
          </w:p>
        </w:tc>
        <w:tc>
          <w:tcPr>
            <w:tcW w:type="dxa" w:w="1300"/>
            <w:tcMar>
              <w:top w:type="dxa" w:w="50"/>
              <w:left w:type="dxa" w:w="90"/>
              <w:bottom w:type="dxa" w:w="50"/>
              <w:right w:type="dxa" w:w="90"/>
            </w:tcMar>
            <w:vAlign w:val="center"/>
          </w:tcPr>
          <w:p>
            <w:pPr>
              <w:spacing w:after="20"/>
              <w:jc w:val="left"/>
            </w:pPr>
            <w:r>
              <w:rPr>
                <w:b w:val="false"/>
                <w:bCs w:val="false"/>
                <w:sz w:val="18"/>
                <w:szCs w:val="18"/>
              </w:rPr>
              <w:t xml:space="preserve">optimista</w:t>
            </w:r>
          </w:p>
        </w:tc>
        <w:tc>
          <w:tcPr>
            <w:tcW w:type="dxa" w:w="2160"/>
            <w:tcMar>
              <w:top w:type="dxa" w:w="50"/>
              <w:left w:type="dxa" w:w="90"/>
              <w:bottom w:type="dxa" w:w="50"/>
              <w:right w:type="dxa" w:w="90"/>
            </w:tcMar>
            <w:vAlign w:val="center"/>
          </w:tcPr>
          <w:p>
            <w:pPr>
              <w:spacing w:after="20"/>
              <w:jc w:val="left"/>
            </w:pPr>
            <w:r>
              <w:rPr>
                <w:b w:val="false"/>
                <w:bCs w:val="false"/>
                <w:sz w:val="18"/>
                <w:szCs w:val="18"/>
              </w:rPr>
              <w:t xml:space="preserve">±5,8 / ±6,0</w:t>
            </w:r>
          </w:p>
        </w:tc>
      </w:tr>
      <w:tr>
        <w:trPr>
          <w:cantSplit/>
        </w:trPr>
        <w:tc>
          <w:tcPr>
            <w:tcW w:type="dxa" w:w="2100"/>
            <w:tcMar>
              <w:top w:type="dxa" w:w="50"/>
              <w:left w:type="dxa" w:w="90"/>
              <w:bottom w:type="dxa" w:w="50"/>
              <w:right w:type="dxa" w:w="90"/>
            </w:tcMar>
            <w:vAlign w:val="center"/>
          </w:tcPr>
          <w:p>
            <w:pPr>
              <w:spacing w:after="20"/>
              <w:jc w:val="left"/>
            </w:pPr>
            <w:r>
              <w:rPr>
                <w:b/>
                <w:bCs/>
                <w:sz w:val="18"/>
                <w:szCs w:val="18"/>
              </w:rPr>
              <w:t xml:space="preserve">Total</w:t>
            </w:r>
          </w:p>
        </w:tc>
        <w:tc>
          <w:tcPr>
            <w:tcW w:type="dxa" w:w="1200"/>
            <w:tcMar>
              <w:top w:type="dxa" w:w="50"/>
              <w:left w:type="dxa" w:w="90"/>
              <w:bottom w:type="dxa" w:w="50"/>
              <w:right w:type="dxa" w:w="90"/>
            </w:tcMar>
            <w:vAlign w:val="center"/>
          </w:tcPr>
          <w:p>
            <w:pPr>
              <w:spacing w:after="20"/>
              <w:jc w:val="right"/>
            </w:pPr>
            <w:r>
              <w:rPr>
                <w:b w:val="false"/>
                <w:bCs w:val="false"/>
                <w:sz w:val="18"/>
                <w:szCs w:val="18"/>
              </w:rPr>
              <w:t xml:space="preserve">15,9%</w:t>
            </w:r>
          </w:p>
        </w:tc>
        <w:tc>
          <w:tcPr>
            <w:tcW w:type="dxa" w:w="1300"/>
            <w:tcMar>
              <w:top w:type="dxa" w:w="50"/>
              <w:left w:type="dxa" w:w="90"/>
              <w:bottom w:type="dxa" w:w="50"/>
              <w:right w:type="dxa" w:w="90"/>
            </w:tcMar>
            <w:vAlign w:val="center"/>
          </w:tcPr>
          <w:p>
            <w:pPr>
              <w:spacing w:after="20"/>
              <w:jc w:val="left"/>
            </w:pPr>
            <w:r>
              <w:rPr>
                <w:b w:val="false"/>
                <w:bCs w:val="false"/>
                <w:sz w:val="18"/>
                <w:szCs w:val="18"/>
              </w:rPr>
              <w:t xml:space="preserve">optimista</w:t>
            </w:r>
          </w:p>
        </w:tc>
        <w:tc>
          <w:tcPr>
            <w:tcW w:type="dxa" w:w="1300"/>
            <w:tcMar>
              <w:top w:type="dxa" w:w="50"/>
              <w:left w:type="dxa" w:w="90"/>
              <w:bottom w:type="dxa" w:w="50"/>
              <w:right w:type="dxa" w:w="90"/>
            </w:tcMar>
            <w:vAlign w:val="center"/>
          </w:tcPr>
          <w:p>
            <w:pPr>
              <w:spacing w:after="20"/>
              <w:jc w:val="right"/>
            </w:pPr>
            <w:r>
              <w:rPr>
                <w:b w:val="false"/>
                <w:bCs w:val="false"/>
                <w:sz w:val="18"/>
                <w:szCs w:val="18"/>
              </w:rPr>
              <w:t xml:space="preserve">21,8%</w:t>
            </w:r>
          </w:p>
        </w:tc>
        <w:tc>
          <w:tcPr>
            <w:tcW w:type="dxa" w:w="1300"/>
            <w:tcMar>
              <w:top w:type="dxa" w:w="50"/>
              <w:left w:type="dxa" w:w="90"/>
              <w:bottom w:type="dxa" w:w="50"/>
              <w:right w:type="dxa" w:w="90"/>
            </w:tcMar>
            <w:vAlign w:val="center"/>
          </w:tcPr>
          <w:p>
            <w:pPr>
              <w:spacing w:after="20"/>
              <w:jc w:val="left"/>
            </w:pPr>
            <w:r>
              <w:rPr>
                <w:b w:val="false"/>
                <w:bCs w:val="false"/>
                <w:sz w:val="18"/>
                <w:szCs w:val="18"/>
              </w:rPr>
              <w:t xml:space="preserve">optimista</w:t>
            </w:r>
          </w:p>
        </w:tc>
        <w:tc>
          <w:tcPr>
            <w:tcW w:type="dxa" w:w="2160"/>
            <w:tcMar>
              <w:top w:type="dxa" w:w="50"/>
              <w:left w:type="dxa" w:w="90"/>
              <w:bottom w:type="dxa" w:w="50"/>
              <w:right w:type="dxa" w:w="90"/>
            </w:tcMar>
            <w:vAlign w:val="center"/>
          </w:tcPr>
          <w:p>
            <w:pPr>
              <w:spacing w:after="20"/>
              <w:jc w:val="left"/>
            </w:pPr>
            <w:r>
              <w:rPr>
                <w:b w:val="false"/>
                <w:bCs w:val="false"/>
                <w:sz w:val="18"/>
                <w:szCs w:val="18"/>
              </w:rPr>
              <w:t xml:space="preserve">±6,2 / ±5,3</w:t>
            </w:r>
          </w:p>
        </w:tc>
      </w:tr>
    </w:tbl>
    <w:p>
      <w:pPr>
        <w:spacing w:after="200" w:before="60"/>
      </w:pPr>
      <w:r>
        <w:rPr>
          <w:i/>
          <w:iCs/>
          <w:color w:val="5E6E69"/>
          <w:sz w:val="18"/>
          <w:szCs w:val="18"/>
        </w:rPr>
        <w:t xml:space="preserve">El error típico es el promedio del MAE fuera de pliegue (entrenamiento) y del MAE de prueba por especie; el del total es un promedio ponderado por ventas de 2026. El total del mercado (15,9%) y aves (9,4%) están cerca de un umbral: el margen de error cubre más de un escenario.</w:t>
      </w:r>
    </w:p>
    <w:p>
      <w:pPr>
        <w:pStyle w:val="Heading2"/>
      </w:pPr>
      <w:r>
        <w:t xml:space="preserve">6.3 Condiciones que invalidan la recomendación</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300"/>
        <w:gridCol w:w="4200"/>
        <w:gridCol w:w="2860"/>
      </w:tblGrid>
      <w:tr>
        <w:trPr>
          <w:cantSplit/>
          <w:tblHeader/>
        </w:trPr>
        <w:tc>
          <w:tcPr>
            <w:tcW w:type="dxa" w:w="2300"/>
            <w:shd w:fill="E4EEEB" w:color="auto" w:val="clear"/>
            <w:tcMar>
              <w:top w:type="dxa" w:w="50"/>
              <w:left w:type="dxa" w:w="90"/>
              <w:bottom w:type="dxa" w:w="50"/>
              <w:right w:type="dxa" w:w="90"/>
            </w:tcMar>
            <w:vAlign w:val="center"/>
          </w:tcPr>
          <w:p>
            <w:pPr>
              <w:spacing w:after="20"/>
              <w:jc w:val="left"/>
            </w:pPr>
            <w:r>
              <w:rPr>
                <w:b/>
                <w:bCs/>
                <w:sz w:val="18"/>
                <w:szCs w:val="18"/>
              </w:rPr>
              <w:t xml:space="preserve">Condición</w:t>
            </w:r>
          </w:p>
        </w:tc>
        <w:tc>
          <w:tcPr>
            <w:tcW w:type="dxa" w:w="4200"/>
            <w:shd w:fill="E4EEEB" w:color="auto" w:val="clear"/>
            <w:tcMar>
              <w:top w:type="dxa" w:w="50"/>
              <w:left w:type="dxa" w:w="90"/>
              <w:bottom w:type="dxa" w:w="50"/>
              <w:right w:type="dxa" w:w="90"/>
            </w:tcMar>
            <w:vAlign w:val="center"/>
          </w:tcPr>
          <w:p>
            <w:pPr>
              <w:spacing w:after="20"/>
              <w:jc w:val="left"/>
            </w:pPr>
            <w:r>
              <w:rPr>
                <w:b/>
                <w:bCs/>
                <w:sz w:val="18"/>
                <w:szCs w:val="18"/>
              </w:rPr>
              <w:t xml:space="preserve">Señal de alerta</w:t>
            </w:r>
          </w:p>
        </w:tc>
        <w:tc>
          <w:tcPr>
            <w:tcW w:type="dxa" w:w="2860"/>
            <w:shd w:fill="E4EEEB" w:color="auto" w:val="clear"/>
            <w:tcMar>
              <w:top w:type="dxa" w:w="50"/>
              <w:left w:type="dxa" w:w="90"/>
              <w:bottom w:type="dxa" w:w="50"/>
              <w:right w:type="dxa" w:w="90"/>
            </w:tcMar>
            <w:vAlign w:val="center"/>
          </w:tcPr>
          <w:p>
            <w:pPr>
              <w:spacing w:after="20"/>
              <w:jc w:val="left"/>
            </w:pPr>
            <w:r>
              <w:rPr>
                <w:b/>
                <w:bCs/>
                <w:sz w:val="18"/>
                <w:szCs w:val="18"/>
              </w:rPr>
              <w:t xml:space="preserve">Acción</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Error de seguimiento alto</w:t>
            </w:r>
          </w:p>
        </w:tc>
        <w:tc>
          <w:tcPr>
            <w:tcW w:type="dxa" w:w="4200"/>
            <w:tcMar>
              <w:top w:type="dxa" w:w="50"/>
              <w:left w:type="dxa" w:w="90"/>
              <w:bottom w:type="dxa" w:w="50"/>
              <w:right w:type="dxa" w:w="90"/>
            </w:tcMar>
            <w:vAlign w:val="center"/>
          </w:tcPr>
          <w:p>
            <w:pPr>
              <w:spacing w:after="20"/>
              <w:jc w:val="left"/>
            </w:pPr>
            <w:r>
              <w:rPr>
                <w:b w:val="false"/>
                <w:bCs w:val="false"/>
                <w:sz w:val="18"/>
                <w:szCs w:val="18"/>
              </w:rPr>
              <w:t xml:space="preserve">MAE trimestral del crecimiento real frente al proyectado mayor a 8 pp en el mercado o 6 pp en el laboratorio.</w:t>
            </w:r>
          </w:p>
        </w:tc>
        <w:tc>
          <w:tcPr>
            <w:tcW w:type="dxa" w:w="2860"/>
            <w:tcMar>
              <w:top w:type="dxa" w:w="50"/>
              <w:left w:type="dxa" w:w="90"/>
              <w:bottom w:type="dxa" w:w="50"/>
              <w:right w:type="dxa" w:w="90"/>
            </w:tcMar>
            <w:vAlign w:val="center"/>
          </w:tcPr>
          <w:p>
            <w:pPr>
              <w:spacing w:after="20"/>
              <w:jc w:val="left"/>
            </w:pPr>
            <w:r>
              <w:rPr>
                <w:b w:val="false"/>
                <w:bCs w:val="false"/>
                <w:sz w:val="18"/>
                <w:szCs w:val="18"/>
              </w:rPr>
              <w:t xml:space="preserve">Detener el uso del simulador y reentrenar.</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Cambio de régimen</w:t>
            </w:r>
          </w:p>
        </w:tc>
        <w:tc>
          <w:tcPr>
            <w:tcW w:type="dxa" w:w="4200"/>
            <w:tcMar>
              <w:top w:type="dxa" w:w="50"/>
              <w:left w:type="dxa" w:w="90"/>
              <w:bottom w:type="dxa" w:w="50"/>
              <w:right w:type="dxa" w:w="90"/>
            </w:tcMar>
            <w:vAlign w:val="center"/>
          </w:tcPr>
          <w:p>
            <w:pPr>
              <w:spacing w:after="20"/>
              <w:jc w:val="left"/>
            </w:pPr>
            <w:r>
              <w:rPr>
                <w:b w:val="false"/>
                <w:bCs w:val="false"/>
                <w:sz w:val="18"/>
                <w:szCs w:val="18"/>
              </w:rPr>
              <w:t xml:space="preserve">Inflación, PIB o precios fuera del rango visto en 2021-2026 (el simulador lo advierte).</w:t>
            </w:r>
          </w:p>
        </w:tc>
        <w:tc>
          <w:tcPr>
            <w:tcW w:type="dxa" w:w="2860"/>
            <w:tcMar>
              <w:top w:type="dxa" w:w="50"/>
              <w:left w:type="dxa" w:w="90"/>
              <w:bottom w:type="dxa" w:w="50"/>
              <w:right w:type="dxa" w:w="90"/>
            </w:tcMar>
            <w:vAlign w:val="center"/>
          </w:tcPr>
          <w:p>
            <w:pPr>
              <w:spacing w:after="20"/>
              <w:jc w:val="left"/>
            </w:pPr>
            <w:r>
              <w:rPr>
                <w:b w:val="false"/>
                <w:bCs w:val="false"/>
                <w:sz w:val="18"/>
                <w:szCs w:val="18"/>
              </w:rPr>
              <w:t xml:space="preserve">Tratar el resultado como extrapolación.</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Evento sanitario o regulatorio</w:t>
            </w:r>
          </w:p>
        </w:tc>
        <w:tc>
          <w:tcPr>
            <w:tcW w:type="dxa" w:w="4200"/>
            <w:tcMar>
              <w:top w:type="dxa" w:w="50"/>
              <w:left w:type="dxa" w:w="90"/>
              <w:bottom w:type="dxa" w:w="50"/>
              <w:right w:type="dxa" w:w="90"/>
            </w:tcMar>
            <w:vAlign w:val="center"/>
          </w:tcPr>
          <w:p>
            <w:pPr>
              <w:spacing w:after="20"/>
              <w:jc w:val="left"/>
            </w:pPr>
            <w:r>
              <w:rPr>
                <w:b w:val="false"/>
                <w:bCs w:val="false"/>
                <w:sz w:val="18"/>
                <w:szCs w:val="18"/>
              </w:rPr>
              <w:t xml:space="preserve">Brotes (por ejemplo influenza aviar, Newcastle, fiebre aftosa, peste porcina), cambios de registro o de política de antimicrobianos.</w:t>
            </w:r>
          </w:p>
        </w:tc>
        <w:tc>
          <w:tcPr>
            <w:tcW w:type="dxa" w:w="2860"/>
            <w:tcMar>
              <w:top w:type="dxa" w:w="50"/>
              <w:left w:type="dxa" w:w="90"/>
              <w:bottom w:type="dxa" w:w="50"/>
              <w:right w:type="dxa" w:w="90"/>
            </w:tcMar>
            <w:vAlign w:val="center"/>
          </w:tcPr>
          <w:p>
            <w:pPr>
              <w:spacing w:after="20"/>
              <w:jc w:val="left"/>
            </w:pPr>
            <w:r>
              <w:rPr>
                <w:b w:val="false"/>
                <w:bCs w:val="false"/>
                <w:sz w:val="18"/>
                <w:szCs w:val="18"/>
              </w:rPr>
              <w:t xml:space="preserve">Reemplazar la proyección por escenarios específicos de la especie.</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Cambios de portafolio o competencia</w:t>
            </w:r>
          </w:p>
        </w:tc>
        <w:tc>
          <w:tcPr>
            <w:tcW w:type="dxa" w:w="4200"/>
            <w:tcMar>
              <w:top w:type="dxa" w:w="50"/>
              <w:left w:type="dxa" w:w="90"/>
              <w:bottom w:type="dxa" w:w="50"/>
              <w:right w:type="dxa" w:w="90"/>
            </w:tcMar>
            <w:vAlign w:val="center"/>
          </w:tcPr>
          <w:p>
            <w:pPr>
              <w:spacing w:after="20"/>
              <w:jc w:val="left"/>
            </w:pPr>
            <w:r>
              <w:rPr>
                <w:b w:val="false"/>
                <w:bCs w:val="false"/>
                <w:sz w:val="18"/>
                <w:szCs w:val="18"/>
              </w:rPr>
              <w:t xml:space="preserve">Lanzamientos, descontinuaciones o entrada de competidores relevantes.</w:t>
            </w:r>
          </w:p>
        </w:tc>
        <w:tc>
          <w:tcPr>
            <w:tcW w:type="dxa" w:w="2860"/>
            <w:tcMar>
              <w:top w:type="dxa" w:w="50"/>
              <w:left w:type="dxa" w:w="90"/>
              <w:bottom w:type="dxa" w:w="50"/>
              <w:right w:type="dxa" w:w="90"/>
            </w:tcMar>
            <w:vAlign w:val="center"/>
          </w:tcPr>
          <w:p>
            <w:pPr>
              <w:spacing w:after="20"/>
              <w:jc w:val="left"/>
            </w:pPr>
            <w:r>
              <w:rPr>
                <w:b w:val="false"/>
                <w:bCs w:val="false"/>
                <w:sz w:val="18"/>
                <w:szCs w:val="18"/>
              </w:rPr>
              <w:t xml:space="preserve">Ajustar la proyección del laboratorio con juicio experto.</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Cambio de la fuente</w:t>
            </w:r>
          </w:p>
        </w:tc>
        <w:tc>
          <w:tcPr>
            <w:tcW w:type="dxa" w:w="4200"/>
            <w:tcMar>
              <w:top w:type="dxa" w:w="50"/>
              <w:left w:type="dxa" w:w="90"/>
              <w:bottom w:type="dxa" w:w="50"/>
              <w:right w:type="dxa" w:w="90"/>
            </w:tcMar>
            <w:vAlign w:val="center"/>
          </w:tcPr>
          <w:p>
            <w:pPr>
              <w:spacing w:after="20"/>
              <w:jc w:val="left"/>
            </w:pPr>
            <w:r>
              <w:rPr>
                <w:b w:val="false"/>
                <w:bCs w:val="false"/>
                <w:sz w:val="18"/>
                <w:szCs w:val="18"/>
              </w:rPr>
              <w:t xml:space="preserve">Cambio metodológico en las series de ventas, mercado o precios.</w:t>
            </w:r>
          </w:p>
        </w:tc>
        <w:tc>
          <w:tcPr>
            <w:tcW w:type="dxa" w:w="2860"/>
            <w:tcMar>
              <w:top w:type="dxa" w:w="50"/>
              <w:left w:type="dxa" w:w="90"/>
              <w:bottom w:type="dxa" w:w="50"/>
              <w:right w:type="dxa" w:w="90"/>
            </w:tcMar>
            <w:vAlign w:val="center"/>
          </w:tcPr>
          <w:p>
            <w:pPr>
              <w:spacing w:after="20"/>
              <w:jc w:val="left"/>
            </w:pPr>
            <w:r>
              <w:rPr>
                <w:b w:val="false"/>
                <w:bCs w:val="false"/>
                <w:sz w:val="18"/>
                <w:szCs w:val="18"/>
              </w:rPr>
              <w:t xml:space="preserve">Revalidar la serie completa.</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Cierre real de 2026 distinto al completado</w:t>
            </w:r>
          </w:p>
        </w:tc>
        <w:tc>
          <w:tcPr>
            <w:tcW w:type="dxa" w:w="4200"/>
            <w:tcMar>
              <w:top w:type="dxa" w:w="50"/>
              <w:left w:type="dxa" w:w="90"/>
              <w:bottom w:type="dxa" w:w="50"/>
              <w:right w:type="dxa" w:w="90"/>
            </w:tcMar>
            <w:vAlign w:val="center"/>
          </w:tcPr>
          <w:p>
            <w:pPr>
              <w:spacing w:after="20"/>
              <w:jc w:val="left"/>
            </w:pPr>
            <w:r>
              <w:rPr>
                <w:b w:val="false"/>
                <w:bCs w:val="false"/>
                <w:sz w:val="18"/>
                <w:szCs w:val="18"/>
              </w:rPr>
              <w:t xml:space="preserve">Crecimiento 2026 observado con diferencia mayor a 3 pp frente al estimado.</w:t>
            </w:r>
          </w:p>
        </w:tc>
        <w:tc>
          <w:tcPr>
            <w:tcW w:type="dxa" w:w="2860"/>
            <w:tcMar>
              <w:top w:type="dxa" w:w="50"/>
              <w:left w:type="dxa" w:w="90"/>
              <w:bottom w:type="dxa" w:w="50"/>
              <w:right w:type="dxa" w:w="90"/>
            </w:tcMar>
            <w:vAlign w:val="center"/>
          </w:tcPr>
          <w:p>
            <w:pPr>
              <w:spacing w:after="20"/>
              <w:jc w:val="left"/>
            </w:pPr>
            <w:r>
              <w:rPr>
                <w:b w:val="false"/>
                <w:bCs w:val="false"/>
                <w:sz w:val="18"/>
                <w:szCs w:val="18"/>
              </w:rPr>
              <w:t xml:space="preserve">Recalcular la base de 2027.</w:t>
            </w:r>
          </w:p>
        </w:tc>
      </w:tr>
    </w:tbl>
    <w:p>
      <w:pPr>
        <w:pStyle w:val="Heading2"/>
      </w:pPr>
      <w:r>
        <w:t xml:space="preserve">6.4 Límites del modelo</w:t>
      </w:r>
    </w:p>
    <w:p>
      <w:pPr>
        <w:pStyle w:val="ListParagraph"/>
        <w:numPr>
          <w:ilvl w:val="0"/>
          <w:numId w:val="2"/>
        </w:numPr>
        <w:spacing w:after="60" w:line="264"/>
      </w:pPr>
      <w:r>
        <w:rPr>
          <w:b/>
          <w:bCs/>
        </w:rPr>
        <w:t xml:space="preserve">Poca historia:</w:t>
      </w:r>
      <w:r>
        <w:t xml:space="preserve"> 196 observaciones de entrenamiento en el mercado y 100 en el laboratorio, con ventanas solapadas.</w:t>
      </w:r>
    </w:p>
    <w:p>
      <w:pPr>
        <w:pStyle w:val="ListParagraph"/>
        <w:numPr>
          <w:ilvl w:val="0"/>
          <w:numId w:val="2"/>
        </w:numPr>
        <w:spacing w:after="60" w:line="264"/>
      </w:pPr>
      <w:r>
        <w:rPr>
          <w:b/>
          <w:bCs/>
        </w:rPr>
        <w:t xml:space="preserve">Poca sensibilidad a las variables.</w:t>
      </w:r>
      <w:r>
        <w:t xml:space="preserve"> En el escenario base, subir 1 punto el PIB cambia el crecimiento total del mercado en +0,03 pp y subir 1 punto la inflación en +0,01 pp; un aumento de 10% en el precio de la carne de res, en +0,07 pp. Son efectos mucho menores que el error del modelo: </w:t>
      </w:r>
      <w:r>
        <w:rPr>
          <w:b/>
          <w:bCs/>
        </w:rPr>
        <w:t xml:space="preserve">el simulador no puede cuantificar con confianza qué pasa al mover esas variables.</w:t>
      </w:r>
      <w:r>
        <w:t xml:space="preserve"> Para el laboratorio, el efecto mayor es el precio del cerdo (+1,18 pp por +10%), también menor al error.</w:t>
      </w:r>
    </w:p>
    <w:p>
      <w:pPr>
        <w:pStyle w:val="ListParagraph"/>
        <w:numPr>
          <w:ilvl w:val="0"/>
          <w:numId w:val="2"/>
        </w:numPr>
        <w:spacing w:after="60" w:line="264"/>
      </w:pPr>
      <w:r>
        <w:rPr>
          <w:b/>
          <w:bCs/>
        </w:rPr>
        <w:t xml:space="preserve">Sin capacidad de detectar escenarios bajos.</w:t>
      </w:r>
      <w:r>
        <w:t xml:space="preserve"> No identifica el escenario "regular" en el mercado.</w:t>
      </w:r>
    </w:p>
    <w:p>
      <w:pPr>
        <w:pStyle w:val="ListParagraph"/>
        <w:numPr>
          <w:ilvl w:val="0"/>
          <w:numId w:val="2"/>
        </w:numPr>
        <w:spacing w:after="60" w:line="264"/>
      </w:pPr>
      <w:r>
        <w:rPr>
          <w:b/>
          <w:bCs/>
        </w:rPr>
        <w:t xml:space="preserve">Crecimiento nominal.</w:t>
      </w:r>
      <w:r>
        <w:t xml:space="preserve"> Incluye inflación; una inflación más alta tiende a subir el crecimiento nominal por el efecto de precios, no por mayor demanda.</w:t>
      </w:r>
    </w:p>
    <w:p>
      <w:pPr>
        <w:pStyle w:val="ListParagraph"/>
        <w:numPr>
          <w:ilvl w:val="0"/>
          <w:numId w:val="2"/>
        </w:numPr>
        <w:spacing w:after="60" w:line="264"/>
      </w:pPr>
      <w:r>
        <w:rPr>
          <w:b/>
          <w:bCs/>
        </w:rPr>
        <w:t xml:space="preserve">Bovinos en el laboratorio.</w:t>
      </w:r>
      <w:r>
        <w:t xml:space="preserve"> La proyección de 2027 (4,2%) contrasta con 14% en 2026 y con la historia de 1% a 14%; requiere revisión del equipo comercial.</w:t>
      </w:r>
    </w:p>
    <w:p>
      <w:pPr>
        <w:pStyle w:val="ListParagraph"/>
        <w:numPr>
          <w:ilvl w:val="0"/>
          <w:numId w:val="2"/>
        </w:numPr>
        <w:spacing w:after="60" w:line="264"/>
      </w:pPr>
      <w:r>
        <w:rPr>
          <w:b/>
          <w:bCs/>
        </w:rPr>
        <w:t xml:space="preserve">Supuestos de 2027.</w:t>
      </w:r>
      <w:r>
        <w:t xml:space="preserve"> La proyección depende de pronósticos de terceros y de supuestos propios (PIB agropecuario, salario mínimo y precios constantes).</w:t>
      </w:r>
    </w:p>
    <w:p>
      <w:pPr>
        <w:pStyle w:val="Heading2"/>
      </w:pPr>
      <w:r>
        <w:t xml:space="preserve">6.5 A quiénes podría perjudicar</w:t>
      </w:r>
    </w:p>
    <w:p>
      <w:pPr>
        <w:pStyle w:val="ListParagraph"/>
        <w:numPr>
          <w:ilvl w:val="0"/>
          <w:numId w:val="2"/>
        </w:numPr>
        <w:spacing w:after="60" w:line="264"/>
      </w:pPr>
      <w:r>
        <w:rPr>
          <w:b/>
          <w:bCs/>
        </w:rPr>
        <w:t xml:space="preserve">Equipos comerciales:</w:t>
      </w:r>
      <w:r>
        <w:t xml:space="preserve"> metas basadas en una cifra puntual pueden penalizar a quienes no la alcancen por razones ajenas.</w:t>
      </w:r>
    </w:p>
    <w:p>
      <w:pPr>
        <w:pStyle w:val="ListParagraph"/>
        <w:numPr>
          <w:ilvl w:val="0"/>
          <w:numId w:val="2"/>
        </w:numPr>
        <w:spacing w:after="60" w:line="264"/>
      </w:pPr>
      <w:r>
        <w:rPr>
          <w:b/>
          <w:bCs/>
        </w:rPr>
        <w:t xml:space="preserve">Especies pequeñas o de baja participación del Laboratorio (bovinos, aves):</w:t>
      </w:r>
      <w:r>
        <w:t xml:space="preserve"> proyecciones de menor calidad pueden llevar a subinvertir o a sobrestockear.</w:t>
      </w:r>
    </w:p>
    <w:p>
      <w:pPr>
        <w:pStyle w:val="ListParagraph"/>
        <w:numPr>
          <w:ilvl w:val="0"/>
          <w:numId w:val="2"/>
        </w:numPr>
        <w:spacing w:after="60" w:line="264"/>
      </w:pPr>
      <w:r>
        <w:rPr>
          <w:b/>
          <w:bCs/>
        </w:rPr>
        <w:t xml:space="preserve">Productores y clínicas:</w:t>
      </w:r>
      <w:r>
        <w:t xml:space="preserve"> el desabastecimiento por subestimación afecta la salud de animales y la producción; el exceso de inventario puede presionar los precios o los descuentos.</w:t>
      </w:r>
    </w:p>
    <w:p>
      <w:pPr>
        <w:pStyle w:val="ListParagraph"/>
        <w:numPr>
          <w:ilvl w:val="0"/>
          <w:numId w:val="2"/>
        </w:numPr>
        <w:spacing w:after="60" w:line="264"/>
      </w:pPr>
      <w:r>
        <w:rPr>
          <w:b/>
          <w:bCs/>
        </w:rPr>
        <w:t xml:space="preserve">Uso prudente de antimicrobianos:</w:t>
      </w:r>
      <w:r>
        <w:t xml:space="preserve"> una meta de crecimiento en ese segmento choca con políticas de reducción de uso.</w:t>
      </w:r>
    </w:p>
    <w:p>
      <w:pPr>
        <w:pStyle w:val="ListParagraph"/>
        <w:numPr>
          <w:ilvl w:val="0"/>
          <w:numId w:val="2"/>
        </w:numPr>
        <w:spacing w:after="60" w:line="264"/>
      </w:pPr>
      <w:r>
        <w:rPr>
          <w:b/>
          <w:bCs/>
        </w:rPr>
        <w:t xml:space="preserve">Quien lea el simulador sin contexto:</w:t>
      </w:r>
      <w:r>
        <w:t xml:space="preserve"> puede interpretar un efecto causal donde solo hay asociación (Sección 6.6).</w:t>
      </w:r>
    </w:p>
    <w:p>
      <w:pPr>
        <w:pStyle w:val="Heading2"/>
      </w:pPr>
      <w:r>
        <w:t xml:space="preserve">6.6 Correlación y causalidad</w:t>
      </w:r>
    </w:p>
    <w:p>
      <w:pPr>
        <w:spacing w:after="120" w:line="276"/>
      </w:pPr>
      <w:r>
        <w:t xml:space="preserve">Los coeficientes del modelo describen asociaciones entre series de pocos años; no demuestran que cambiar una variable cause el cambio en el crecimiento. Tres ejemplos:</w:t>
      </w:r>
    </w:p>
    <w:p>
      <w:pPr>
        <w:pStyle w:val="ListParagraph"/>
        <w:numPr>
          <w:ilvl w:val="0"/>
          <w:numId w:val="2"/>
        </w:numPr>
        <w:spacing w:after="60" w:line="264"/>
      </w:pPr>
      <w:r>
        <w:rPr>
          <w:b/>
          <w:bCs/>
        </w:rPr>
        <w:t xml:space="preserve">Inflación y animales de compañía.</w:t>
      </w:r>
      <w:r>
        <w:t xml:space="preserve"> El equipo planteó que con más inflación los hogares priorizan gastos esenciales sobre la salud de la mascota. En la base, el crecimiento nominal de animales de compañía se mueve junto con la inflación (correlación de 0,43), porque las ventas están en pesos corrientes. Al descontar la inflación, la correlación es de 0,04: no hay evidencia a favor ni en contra de la hipótesis. Probarla exigiría datos de unidades vendidas o de ingresos de los hogares.</w:t>
      </w:r>
    </w:p>
    <w:p>
      <w:pPr>
        <w:pStyle w:val="ListParagraph"/>
        <w:numPr>
          <w:ilvl w:val="0"/>
          <w:numId w:val="2"/>
        </w:numPr>
        <w:spacing w:after="60" w:line="264"/>
      </w:pPr>
      <w:r>
        <w:rPr>
          <w:b/>
          <w:bCs/>
        </w:rPr>
        <w:t xml:space="preserve">Precio de la carne de cerdo y ventas de cerdos.</w:t>
      </w:r>
      <w:r>
        <w:t xml:space="preserve"> La caída del precio en 2026 coincide con un cambio en las ventas, pero ambas pudieron responder a la oferta, a la demanda o a un tercer factor.</w:t>
      </w:r>
    </w:p>
    <w:p>
      <w:pPr>
        <w:pStyle w:val="ListParagraph"/>
        <w:numPr>
          <w:ilvl w:val="0"/>
          <w:numId w:val="2"/>
        </w:numPr>
        <w:spacing w:after="60" w:line="264"/>
      </w:pPr>
      <w:r>
        <w:rPr>
          <w:b/>
          <w:bCs/>
        </w:rPr>
        <w:t xml:space="preserve">Simulador como "qué pasaría si".</w:t>
      </w:r>
      <w:r>
        <w:t xml:space="preserve"> Cambiar un control muestra cómo responde el modelo, no qué pasaría en el mercado si esa variable cambiara. Para efectos causales harían falta experimentos o variaciones exógenas (por ejemplo, cambios de política) y datos más finos.</w:t>
      </w:r>
    </w:p>
    <w:p>
      <w:pPr>
        <w:pStyle w:val="Heading2"/>
      </w:pPr>
      <w:r>
        <w:t xml:space="preserve">6.7 Plan de seguimiento</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3700"/>
        <w:gridCol w:w="1500"/>
        <w:gridCol w:w="2700"/>
        <w:gridCol w:w="1460"/>
      </w:tblGrid>
      <w:tr>
        <w:trPr>
          <w:cantSplit/>
          <w:tblHeader/>
        </w:trPr>
        <w:tc>
          <w:tcPr>
            <w:tcW w:type="dxa" w:w="3700"/>
            <w:shd w:fill="E4EEEB" w:color="auto" w:val="clear"/>
            <w:tcMar>
              <w:top w:type="dxa" w:w="50"/>
              <w:left w:type="dxa" w:w="90"/>
              <w:bottom w:type="dxa" w:w="50"/>
              <w:right w:type="dxa" w:w="90"/>
            </w:tcMar>
            <w:vAlign w:val="center"/>
          </w:tcPr>
          <w:p>
            <w:pPr>
              <w:spacing w:after="20"/>
              <w:jc w:val="left"/>
            </w:pPr>
            <w:r>
              <w:rPr>
                <w:b/>
                <w:bCs/>
                <w:sz w:val="18"/>
                <w:szCs w:val="18"/>
              </w:rPr>
              <w:t xml:space="preserve">Indicador</w:t>
            </w:r>
          </w:p>
        </w:tc>
        <w:tc>
          <w:tcPr>
            <w:tcW w:type="dxa" w:w="1500"/>
            <w:shd w:fill="E4EEEB" w:color="auto" w:val="clear"/>
            <w:tcMar>
              <w:top w:type="dxa" w:w="50"/>
              <w:left w:type="dxa" w:w="90"/>
              <w:bottom w:type="dxa" w:w="50"/>
              <w:right w:type="dxa" w:w="90"/>
            </w:tcMar>
            <w:vAlign w:val="center"/>
          </w:tcPr>
          <w:p>
            <w:pPr>
              <w:spacing w:after="20"/>
              <w:jc w:val="left"/>
            </w:pPr>
            <w:r>
              <w:rPr>
                <w:b/>
                <w:bCs/>
                <w:sz w:val="18"/>
                <w:szCs w:val="18"/>
              </w:rPr>
              <w:t xml:space="preserve">Frecuencia</w:t>
            </w:r>
          </w:p>
        </w:tc>
        <w:tc>
          <w:tcPr>
            <w:tcW w:type="dxa" w:w="2700"/>
            <w:shd w:fill="E4EEEB" w:color="auto" w:val="clear"/>
            <w:tcMar>
              <w:top w:type="dxa" w:w="50"/>
              <w:left w:type="dxa" w:w="90"/>
              <w:bottom w:type="dxa" w:w="50"/>
              <w:right w:type="dxa" w:w="90"/>
            </w:tcMar>
            <w:vAlign w:val="center"/>
          </w:tcPr>
          <w:p>
            <w:pPr>
              <w:spacing w:after="20"/>
              <w:jc w:val="left"/>
            </w:pPr>
            <w:r>
              <w:rPr>
                <w:b/>
                <w:bCs/>
                <w:sz w:val="18"/>
                <w:szCs w:val="18"/>
              </w:rPr>
              <w:t xml:space="preserve">Umbral de alerta</w:t>
            </w:r>
          </w:p>
        </w:tc>
        <w:tc>
          <w:tcPr>
            <w:tcW w:type="dxa" w:w="1460"/>
            <w:shd w:fill="E4EEEB" w:color="auto" w:val="clear"/>
            <w:tcMar>
              <w:top w:type="dxa" w:w="50"/>
              <w:left w:type="dxa" w:w="90"/>
              <w:bottom w:type="dxa" w:w="50"/>
              <w:right w:type="dxa" w:w="90"/>
            </w:tcMar>
            <w:vAlign w:val="center"/>
          </w:tcPr>
          <w:p>
            <w:pPr>
              <w:spacing w:after="20"/>
              <w:jc w:val="left"/>
            </w:pPr>
            <w:r>
              <w:rPr>
                <w:b/>
                <w:bCs/>
                <w:sz w:val="18"/>
                <w:szCs w:val="18"/>
              </w:rPr>
              <w:t xml:space="preserve">Responsable</w:t>
            </w:r>
          </w:p>
        </w:tc>
      </w:tr>
      <w:tr>
        <w:trPr>
          <w:cantSplit/>
        </w:trPr>
        <w:tc>
          <w:tcPr>
            <w:tcW w:type="dxa" w:w="3700"/>
            <w:tcMar>
              <w:top w:type="dxa" w:w="50"/>
              <w:left w:type="dxa" w:w="90"/>
              <w:bottom w:type="dxa" w:w="50"/>
              <w:right w:type="dxa" w:w="90"/>
            </w:tcMar>
            <w:vAlign w:val="center"/>
          </w:tcPr>
          <w:p>
            <w:pPr>
              <w:spacing w:after="20"/>
              <w:jc w:val="left"/>
            </w:pPr>
            <w:r>
              <w:rPr>
                <w:sz w:val="18"/>
                <w:szCs w:val="18"/>
              </w:rPr>
              <w:t xml:space="preserve">MAE del crecimiento de 12 meses real frente al proyectado, por especie</w:t>
            </w:r>
          </w:p>
        </w:tc>
        <w:tc>
          <w:tcPr>
            <w:tcW w:type="dxa" w:w="1500"/>
            <w:tcMar>
              <w:top w:type="dxa" w:w="50"/>
              <w:left w:type="dxa" w:w="90"/>
              <w:bottom w:type="dxa" w:w="50"/>
              <w:right w:type="dxa" w:w="90"/>
            </w:tcMar>
            <w:vAlign w:val="center"/>
          </w:tcPr>
          <w:p>
            <w:pPr>
              <w:spacing w:after="20"/>
              <w:jc w:val="left"/>
            </w:pPr>
            <w:r>
              <w:rPr>
                <w:sz w:val="18"/>
                <w:szCs w:val="18"/>
              </w:rPr>
              <w:t xml:space="preserve">Mensual</w:t>
            </w:r>
          </w:p>
        </w:tc>
        <w:tc>
          <w:tcPr>
            <w:tcW w:type="dxa" w:w="2700"/>
            <w:tcMar>
              <w:top w:type="dxa" w:w="50"/>
              <w:left w:type="dxa" w:w="90"/>
              <w:bottom w:type="dxa" w:w="50"/>
              <w:right w:type="dxa" w:w="90"/>
            </w:tcMar>
            <w:vAlign w:val="center"/>
          </w:tcPr>
          <w:p>
            <w:pPr>
              <w:spacing w:after="20"/>
              <w:jc w:val="left"/>
            </w:pPr>
            <w:r>
              <w:rPr>
                <w:sz w:val="18"/>
                <w:szCs w:val="18"/>
              </w:rPr>
              <w:t xml:space="preserve">&gt; 8 pp mercado; &gt; 6 pp laboratorio</w:t>
            </w:r>
          </w:p>
        </w:tc>
        <w:tc>
          <w:tcPr>
            <w:tcW w:type="dxa" w:w="1460"/>
            <w:tcMar>
              <w:top w:type="dxa" w:w="50"/>
              <w:left w:type="dxa" w:w="90"/>
              <w:bottom w:type="dxa" w:w="50"/>
              <w:right w:type="dxa" w:w="90"/>
            </w:tcMar>
            <w:vAlign w:val="center"/>
          </w:tcPr>
          <w:p>
            <w:pPr>
              <w:spacing w:after="20"/>
              <w:jc w:val="left"/>
            </w:pPr>
            <w:r>
              <w:rPr>
                <w:sz w:val="18"/>
                <w:szCs w:val="18"/>
                <w:highlight w:val="yellow"/>
                <w:highlightCs w:val="yellow"/>
              </w:rPr>
              <w:t xml:space="preserve">[confirmar]</w:t>
            </w:r>
          </w:p>
        </w:tc>
      </w:tr>
      <w:tr>
        <w:trPr>
          <w:cantSplit/>
        </w:trPr>
        <w:tc>
          <w:tcPr>
            <w:tcW w:type="dxa" w:w="3700"/>
            <w:tcMar>
              <w:top w:type="dxa" w:w="50"/>
              <w:left w:type="dxa" w:w="90"/>
              <w:bottom w:type="dxa" w:w="50"/>
              <w:right w:type="dxa" w:w="90"/>
            </w:tcMar>
            <w:vAlign w:val="center"/>
          </w:tcPr>
          <w:p>
            <w:pPr>
              <w:spacing w:after="20"/>
              <w:jc w:val="left"/>
            </w:pPr>
            <w:r>
              <w:rPr>
                <w:sz w:val="18"/>
                <w:szCs w:val="18"/>
              </w:rPr>
              <w:t xml:space="preserve">Sesgo (proyectado menos real)</w:t>
            </w:r>
          </w:p>
        </w:tc>
        <w:tc>
          <w:tcPr>
            <w:tcW w:type="dxa" w:w="1500"/>
            <w:tcMar>
              <w:top w:type="dxa" w:w="50"/>
              <w:left w:type="dxa" w:w="90"/>
              <w:bottom w:type="dxa" w:w="50"/>
              <w:right w:type="dxa" w:w="90"/>
            </w:tcMar>
            <w:vAlign w:val="center"/>
          </w:tcPr>
          <w:p>
            <w:pPr>
              <w:spacing w:after="20"/>
              <w:jc w:val="left"/>
            </w:pPr>
            <w:r>
              <w:rPr>
                <w:sz w:val="18"/>
                <w:szCs w:val="18"/>
              </w:rPr>
              <w:t xml:space="preserve">Trimestral</w:t>
            </w:r>
          </w:p>
        </w:tc>
        <w:tc>
          <w:tcPr>
            <w:tcW w:type="dxa" w:w="2700"/>
            <w:tcMar>
              <w:top w:type="dxa" w:w="50"/>
              <w:left w:type="dxa" w:w="90"/>
              <w:bottom w:type="dxa" w:w="50"/>
              <w:right w:type="dxa" w:w="90"/>
            </w:tcMar>
            <w:vAlign w:val="center"/>
          </w:tcPr>
          <w:p>
            <w:pPr>
              <w:spacing w:after="20"/>
              <w:jc w:val="left"/>
            </w:pPr>
            <w:r>
              <w:rPr>
                <w:sz w:val="18"/>
                <w:szCs w:val="18"/>
              </w:rPr>
              <w:t xml:space="preserve">Mayor a ±3 pp durante dos trimestres</w:t>
            </w:r>
          </w:p>
        </w:tc>
        <w:tc>
          <w:tcPr>
            <w:tcW w:type="dxa" w:w="1460"/>
            <w:tcMar>
              <w:top w:type="dxa" w:w="50"/>
              <w:left w:type="dxa" w:w="90"/>
              <w:bottom w:type="dxa" w:w="50"/>
              <w:right w:type="dxa" w:w="90"/>
            </w:tcMar>
            <w:vAlign w:val="center"/>
          </w:tcPr>
          <w:p>
            <w:pPr>
              <w:spacing w:after="20"/>
              <w:jc w:val="left"/>
            </w:pPr>
            <w:r>
              <w:rPr>
                <w:sz w:val="18"/>
                <w:szCs w:val="18"/>
                <w:highlight w:val="yellow"/>
                <w:highlightCs w:val="yellow"/>
              </w:rPr>
              <w:t xml:space="preserve">[confirmar]</w:t>
            </w:r>
          </w:p>
        </w:tc>
      </w:tr>
      <w:tr>
        <w:trPr>
          <w:cantSplit/>
        </w:trPr>
        <w:tc>
          <w:tcPr>
            <w:tcW w:type="dxa" w:w="3700"/>
            <w:tcMar>
              <w:top w:type="dxa" w:w="50"/>
              <w:left w:type="dxa" w:w="90"/>
              <w:bottom w:type="dxa" w:w="50"/>
              <w:right w:type="dxa" w:w="90"/>
            </w:tcMar>
            <w:vAlign w:val="center"/>
          </w:tcPr>
          <w:p>
            <w:pPr>
              <w:spacing w:after="20"/>
              <w:jc w:val="left"/>
            </w:pPr>
            <w:r>
              <w:rPr>
                <w:sz w:val="18"/>
                <w:szCs w:val="18"/>
              </w:rPr>
              <w:t xml:space="preserve">Variables del simulador frente al rango de entrenamiento</w:t>
            </w:r>
          </w:p>
        </w:tc>
        <w:tc>
          <w:tcPr>
            <w:tcW w:type="dxa" w:w="1500"/>
            <w:tcMar>
              <w:top w:type="dxa" w:w="50"/>
              <w:left w:type="dxa" w:w="90"/>
              <w:bottom w:type="dxa" w:w="50"/>
              <w:right w:type="dxa" w:w="90"/>
            </w:tcMar>
            <w:vAlign w:val="center"/>
          </w:tcPr>
          <w:p>
            <w:pPr>
              <w:spacing w:after="20"/>
              <w:jc w:val="left"/>
            </w:pPr>
            <w:r>
              <w:rPr>
                <w:sz w:val="18"/>
                <w:szCs w:val="18"/>
              </w:rPr>
              <w:t xml:space="preserve">Cada uso</w:t>
            </w:r>
          </w:p>
        </w:tc>
        <w:tc>
          <w:tcPr>
            <w:tcW w:type="dxa" w:w="2700"/>
            <w:tcMar>
              <w:top w:type="dxa" w:w="50"/>
              <w:left w:type="dxa" w:w="90"/>
              <w:bottom w:type="dxa" w:w="50"/>
              <w:right w:type="dxa" w:w="90"/>
            </w:tcMar>
            <w:vAlign w:val="center"/>
          </w:tcPr>
          <w:p>
            <w:pPr>
              <w:spacing w:after="20"/>
              <w:jc w:val="left"/>
            </w:pPr>
            <w:r>
              <w:rPr>
                <w:sz w:val="18"/>
                <w:szCs w:val="18"/>
              </w:rPr>
              <w:t xml:space="preserve">Cualquier variable fuera de rango</w:t>
            </w:r>
          </w:p>
        </w:tc>
        <w:tc>
          <w:tcPr>
            <w:tcW w:type="dxa" w:w="1460"/>
            <w:tcMar>
              <w:top w:type="dxa" w:w="50"/>
              <w:left w:type="dxa" w:w="90"/>
              <w:bottom w:type="dxa" w:w="50"/>
              <w:right w:type="dxa" w:w="90"/>
            </w:tcMar>
            <w:vAlign w:val="center"/>
          </w:tcPr>
          <w:p>
            <w:pPr>
              <w:spacing w:after="20"/>
              <w:jc w:val="left"/>
            </w:pPr>
            <w:r>
              <w:rPr>
                <w:sz w:val="18"/>
                <w:szCs w:val="18"/>
                <w:highlight w:val="yellow"/>
                <w:highlightCs w:val="yellow"/>
              </w:rPr>
              <w:t xml:space="preserve">[confirmar]</w:t>
            </w:r>
          </w:p>
        </w:tc>
      </w:tr>
      <w:tr>
        <w:trPr>
          <w:cantSplit/>
        </w:trPr>
        <w:tc>
          <w:tcPr>
            <w:tcW w:type="dxa" w:w="3700"/>
            <w:tcMar>
              <w:top w:type="dxa" w:w="50"/>
              <w:left w:type="dxa" w:w="90"/>
              <w:bottom w:type="dxa" w:w="50"/>
              <w:right w:type="dxa" w:w="90"/>
            </w:tcMar>
            <w:vAlign w:val="center"/>
          </w:tcPr>
          <w:p>
            <w:pPr>
              <w:spacing w:after="20"/>
              <w:jc w:val="left"/>
            </w:pPr>
            <w:r>
              <w:rPr>
                <w:sz w:val="18"/>
                <w:szCs w:val="18"/>
              </w:rPr>
              <w:t xml:space="preserve">Disponibilidad de pronósticos oficiales 2027</w:t>
            </w:r>
          </w:p>
        </w:tc>
        <w:tc>
          <w:tcPr>
            <w:tcW w:type="dxa" w:w="1500"/>
            <w:tcMar>
              <w:top w:type="dxa" w:w="50"/>
              <w:left w:type="dxa" w:w="90"/>
              <w:bottom w:type="dxa" w:w="50"/>
              <w:right w:type="dxa" w:w="90"/>
            </w:tcMar>
            <w:vAlign w:val="center"/>
          </w:tcPr>
          <w:p>
            <w:pPr>
              <w:spacing w:after="20"/>
              <w:jc w:val="left"/>
            </w:pPr>
            <w:r>
              <w:rPr>
                <w:sz w:val="18"/>
                <w:szCs w:val="18"/>
              </w:rPr>
              <w:t xml:space="preserve">Trimestral</w:t>
            </w:r>
          </w:p>
        </w:tc>
        <w:tc>
          <w:tcPr>
            <w:tcW w:type="dxa" w:w="2700"/>
            <w:tcMar>
              <w:top w:type="dxa" w:w="50"/>
              <w:left w:type="dxa" w:w="90"/>
              <w:bottom w:type="dxa" w:w="50"/>
              <w:right w:type="dxa" w:w="90"/>
            </w:tcMar>
            <w:vAlign w:val="center"/>
          </w:tcPr>
          <w:p>
            <w:pPr>
              <w:spacing w:after="20"/>
              <w:jc w:val="left"/>
            </w:pPr>
            <w:r>
              <w:rPr>
                <w:sz w:val="18"/>
                <w:szCs w:val="18"/>
              </w:rPr>
              <w:t xml:space="preserve">Cambio de más de 1 pp en inflación o PIB</w:t>
            </w:r>
          </w:p>
        </w:tc>
        <w:tc>
          <w:tcPr>
            <w:tcW w:type="dxa" w:w="1460"/>
            <w:tcMar>
              <w:top w:type="dxa" w:w="50"/>
              <w:left w:type="dxa" w:w="90"/>
              <w:bottom w:type="dxa" w:w="50"/>
              <w:right w:type="dxa" w:w="90"/>
            </w:tcMar>
            <w:vAlign w:val="center"/>
          </w:tcPr>
          <w:p>
            <w:pPr>
              <w:spacing w:after="20"/>
              <w:jc w:val="left"/>
            </w:pPr>
            <w:r>
              <w:rPr>
                <w:sz w:val="18"/>
                <w:szCs w:val="18"/>
                <w:highlight w:val="yellow"/>
                <w:highlightCs w:val="yellow"/>
              </w:rPr>
              <w:t xml:space="preserve">[confirmar]</w:t>
            </w:r>
          </w:p>
        </w:tc>
      </w:tr>
      <w:tr>
        <w:trPr>
          <w:cantSplit/>
        </w:trPr>
        <w:tc>
          <w:tcPr>
            <w:tcW w:type="dxa" w:w="3700"/>
            <w:tcMar>
              <w:top w:type="dxa" w:w="50"/>
              <w:left w:type="dxa" w:w="90"/>
              <w:bottom w:type="dxa" w:w="50"/>
              <w:right w:type="dxa" w:w="90"/>
            </w:tcMar>
            <w:vAlign w:val="center"/>
          </w:tcPr>
          <w:p>
            <w:pPr>
              <w:spacing w:after="20"/>
              <w:jc w:val="left"/>
            </w:pPr>
            <w:r>
              <w:rPr>
                <w:sz w:val="18"/>
                <w:szCs w:val="18"/>
              </w:rPr>
              <w:t xml:space="preserve">Reentrenamiento y revalidación</w:t>
            </w:r>
          </w:p>
        </w:tc>
        <w:tc>
          <w:tcPr>
            <w:tcW w:type="dxa" w:w="1500"/>
            <w:tcMar>
              <w:top w:type="dxa" w:w="50"/>
              <w:left w:type="dxa" w:w="90"/>
              <w:bottom w:type="dxa" w:w="50"/>
              <w:right w:type="dxa" w:w="90"/>
            </w:tcMar>
            <w:vAlign w:val="center"/>
          </w:tcPr>
          <w:p>
            <w:pPr>
              <w:spacing w:after="20"/>
              <w:jc w:val="left"/>
            </w:pPr>
            <w:r>
              <w:rPr>
                <w:sz w:val="18"/>
                <w:szCs w:val="18"/>
              </w:rPr>
              <w:t xml:space="preserve">Primer trimestre de 2027 y luego semestral</w:t>
            </w:r>
          </w:p>
        </w:tc>
        <w:tc>
          <w:tcPr>
            <w:tcW w:type="dxa" w:w="2700"/>
            <w:tcMar>
              <w:top w:type="dxa" w:w="50"/>
              <w:left w:type="dxa" w:w="90"/>
              <w:bottom w:type="dxa" w:w="50"/>
              <w:right w:type="dxa" w:w="90"/>
            </w:tcMar>
            <w:vAlign w:val="center"/>
          </w:tcPr>
          <w:p>
            <w:pPr>
              <w:spacing w:after="20"/>
              <w:jc w:val="left"/>
            </w:pPr>
            <w:r>
              <w:rPr>
                <w:sz w:val="18"/>
                <w:szCs w:val="18"/>
              </w:rPr>
              <w:t xml:space="preserve">Nueva consulta de prueba sobre el semestre nuevo</w:t>
            </w:r>
          </w:p>
        </w:tc>
        <w:tc>
          <w:tcPr>
            <w:tcW w:type="dxa" w:w="1460"/>
            <w:tcMar>
              <w:top w:type="dxa" w:w="50"/>
              <w:left w:type="dxa" w:w="90"/>
              <w:bottom w:type="dxa" w:w="50"/>
              <w:right w:type="dxa" w:w="90"/>
            </w:tcMar>
            <w:vAlign w:val="center"/>
          </w:tcPr>
          <w:p>
            <w:pPr>
              <w:spacing w:after="20"/>
              <w:jc w:val="left"/>
            </w:pPr>
            <w:r>
              <w:rPr>
                <w:sz w:val="18"/>
                <w:szCs w:val="18"/>
                <w:highlight w:val="yellow"/>
                <w:highlightCs w:val="yellow"/>
              </w:rPr>
              <w:t xml:space="preserve">[confirmar]</w:t>
            </w:r>
          </w:p>
        </w:tc>
      </w:tr>
      <w:tr>
        <w:trPr>
          <w:cantSplit/>
        </w:trPr>
        <w:tc>
          <w:tcPr>
            <w:tcW w:type="dxa" w:w="3700"/>
            <w:tcMar>
              <w:top w:type="dxa" w:w="50"/>
              <w:left w:type="dxa" w:w="90"/>
              <w:bottom w:type="dxa" w:w="50"/>
              <w:right w:type="dxa" w:w="90"/>
            </w:tcMar>
            <w:vAlign w:val="center"/>
          </w:tcPr>
          <w:p>
            <w:pPr>
              <w:spacing w:after="20"/>
              <w:jc w:val="left"/>
            </w:pPr>
            <w:r>
              <w:rPr>
                <w:sz w:val="18"/>
                <w:szCs w:val="18"/>
              </w:rPr>
              <w:t xml:space="preserve">Eventos sanitarios y de portafolio</w:t>
            </w:r>
          </w:p>
        </w:tc>
        <w:tc>
          <w:tcPr>
            <w:tcW w:type="dxa" w:w="1500"/>
            <w:tcMar>
              <w:top w:type="dxa" w:w="50"/>
              <w:left w:type="dxa" w:w="90"/>
              <w:bottom w:type="dxa" w:w="50"/>
              <w:right w:type="dxa" w:w="90"/>
            </w:tcMar>
            <w:vAlign w:val="center"/>
          </w:tcPr>
          <w:p>
            <w:pPr>
              <w:spacing w:after="20"/>
              <w:jc w:val="left"/>
            </w:pPr>
            <w:r>
              <w:rPr>
                <w:sz w:val="18"/>
                <w:szCs w:val="18"/>
              </w:rPr>
              <w:t xml:space="preserve">Continuo</w:t>
            </w:r>
          </w:p>
        </w:tc>
        <w:tc>
          <w:tcPr>
            <w:tcW w:type="dxa" w:w="2700"/>
            <w:tcMar>
              <w:top w:type="dxa" w:w="50"/>
              <w:left w:type="dxa" w:w="90"/>
              <w:bottom w:type="dxa" w:w="50"/>
              <w:right w:type="dxa" w:w="90"/>
            </w:tcMar>
            <w:vAlign w:val="center"/>
          </w:tcPr>
          <w:p>
            <w:pPr>
              <w:spacing w:after="20"/>
              <w:jc w:val="left"/>
            </w:pPr>
            <w:r>
              <w:rPr>
                <w:sz w:val="18"/>
                <w:szCs w:val="18"/>
              </w:rPr>
              <w:t xml:space="preserve">Cualquier evento relevante</w:t>
            </w:r>
          </w:p>
        </w:tc>
        <w:tc>
          <w:tcPr>
            <w:tcW w:type="dxa" w:w="1460"/>
            <w:tcMar>
              <w:top w:type="dxa" w:w="50"/>
              <w:left w:type="dxa" w:w="90"/>
              <w:bottom w:type="dxa" w:w="50"/>
              <w:right w:type="dxa" w:w="90"/>
            </w:tcMar>
            <w:vAlign w:val="center"/>
          </w:tcPr>
          <w:p>
            <w:pPr>
              <w:spacing w:after="20"/>
              <w:jc w:val="left"/>
            </w:pPr>
            <w:r>
              <w:rPr>
                <w:sz w:val="18"/>
                <w:szCs w:val="18"/>
                <w:highlight w:val="yellow"/>
                <w:highlightCs w:val="yellow"/>
              </w:rPr>
              <w:t xml:space="preserve">[confirmar]</w:t>
            </w:r>
          </w:p>
        </w:tc>
      </w:tr>
    </w:tbl>
    <w:p>
      <w:pPr>
        <w:pStyle w:val="Heading2"/>
      </w:pPr>
      <w:r>
        <w:t xml:space="preserve">6.8 Estado del simulador</w:t>
      </w:r>
    </w:p>
    <w:p>
      <w:pPr>
        <w:pBdr>
          <w:left w:val="single" w:color="0B5D4F" w:sz="24" w:space="8"/>
        </w:pBdr>
        <w:shd w:fill="FFF6E0" w:color="auto" w:val="clear"/>
        <w:spacing w:after="160" w:before="80" w:line="276"/>
        <w:ind w:left="160" w:right="80"/>
      </w:pPr>
      <w:r>
        <w:rPr>
          <w:b/>
          <w:bCs/>
        </w:rPr>
        <w:t xml:space="preserve">Pendiente de decisión del equipo.</w:t>
      </w:r>
      <w:r>
        <w:t xml:space="preserve"> El simulador publicado (versión web) se construyó con una versión anterior del modelo (alpha 100 en el mercado y 50 en el laboratorio, elegida en una fase exploratoria). El modelo final de este informe usa alpha 1.000 y 100, y es aún menos sensible a las variables. Para que informe y simulador coincidan hay que regenerar el simulador con el modelo final. Con el modelo final los resultados base son mercado 15,9% y laboratorio 21,8%; con el publicado son 15,7% y 21,5%.</w:t>
      </w:r>
    </w:p>
    <w:p>
      <w:pPr>
        <w:pStyle w:val="Heading1"/>
        <w:spacing w:after="200" w:before="480"/>
      </w:pPr>
      <w:r>
        <w:t xml:space="preserve">7. Roles y trabajo en equipo</w:t>
      </w:r>
    </w:p>
    <w:p>
      <w:pPr>
        <w:spacing w:after="120" w:line="276"/>
      </w:pPr>
      <w:r>
        <w:t xml:space="preserve">Esta sección debe ser completada por el equipo: los aportes de cada persona no constan en el repositorio. La tabla propone una estructura y borradores a partir del trabajo registrado en el proyecto.</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300"/>
        <w:gridCol w:w="1700"/>
        <w:gridCol w:w="5360"/>
      </w:tblGrid>
      <w:tr>
        <w:trPr>
          <w:cantSplit/>
          <w:tblHeader/>
        </w:trPr>
        <w:tc>
          <w:tcPr>
            <w:tcW w:type="dxa" w:w="2300"/>
            <w:shd w:fill="E4EEEB" w:color="auto" w:val="clear"/>
            <w:tcMar>
              <w:top w:type="dxa" w:w="50"/>
              <w:left w:type="dxa" w:w="90"/>
              <w:bottom w:type="dxa" w:w="50"/>
              <w:right w:type="dxa" w:w="90"/>
            </w:tcMar>
            <w:vAlign w:val="center"/>
          </w:tcPr>
          <w:p>
            <w:pPr>
              <w:spacing w:after="20"/>
              <w:jc w:val="left"/>
            </w:pPr>
            <w:r>
              <w:rPr>
                <w:b/>
                <w:bCs/>
                <w:sz w:val="18"/>
                <w:szCs w:val="18"/>
              </w:rPr>
              <w:t xml:space="preserve">Perfil</w:t>
            </w:r>
          </w:p>
        </w:tc>
        <w:tc>
          <w:tcPr>
            <w:tcW w:type="dxa" w:w="1700"/>
            <w:shd w:fill="E4EEEB" w:color="auto" w:val="clear"/>
            <w:tcMar>
              <w:top w:type="dxa" w:w="50"/>
              <w:left w:type="dxa" w:w="90"/>
              <w:bottom w:type="dxa" w:w="50"/>
              <w:right w:type="dxa" w:w="90"/>
            </w:tcMar>
            <w:vAlign w:val="center"/>
          </w:tcPr>
          <w:p>
            <w:pPr>
              <w:spacing w:after="20"/>
              <w:jc w:val="left"/>
            </w:pPr>
            <w:r>
              <w:rPr>
                <w:b/>
                <w:bCs/>
                <w:sz w:val="18"/>
                <w:szCs w:val="18"/>
              </w:rPr>
              <w:t xml:space="preserve">Persona(s)</w:t>
            </w:r>
          </w:p>
        </w:tc>
        <w:tc>
          <w:tcPr>
            <w:tcW w:type="dxa" w:w="5360"/>
            <w:shd w:fill="E4EEEB" w:color="auto" w:val="clear"/>
            <w:tcMar>
              <w:top w:type="dxa" w:w="50"/>
              <w:left w:type="dxa" w:w="90"/>
              <w:bottom w:type="dxa" w:w="50"/>
              <w:right w:type="dxa" w:w="90"/>
            </w:tcMar>
            <w:vAlign w:val="center"/>
          </w:tcPr>
          <w:p>
            <w:pPr>
              <w:spacing w:after="20"/>
              <w:jc w:val="left"/>
            </w:pPr>
            <w:r>
              <w:rPr>
                <w:b/>
                <w:bCs/>
                <w:sz w:val="18"/>
                <w:szCs w:val="18"/>
              </w:rPr>
              <w:t xml:space="preserve">Aportes (borrador por ajustar)</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Cracks (perfil técnico y analítico)</w:t>
            </w:r>
          </w:p>
        </w:tc>
        <w:tc>
          <w:tcPr>
            <w:tcW w:type="dxa" w:w="170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[nombres]</w:t>
            </w:r>
          </w:p>
        </w:tc>
        <w:tc>
          <w:tcPr>
            <w:tcW w:type="dxa" w:w="5360"/>
            <w:tcMar>
              <w:top w:type="dxa" w:w="50"/>
              <w:left w:type="dxa" w:w="90"/>
              <w:bottom w:type="dxa" w:w="50"/>
              <w:right w:type="dxa" w:w="90"/>
            </w:tcMar>
            <w:vAlign w:val="center"/>
          </w:tcPr>
          <w:p>
            <w:pPr>
              <w:spacing w:after="20"/>
              <w:jc w:val="left"/>
            </w:pPr>
            <w:r>
              <w:rPr>
                <w:b w:val="false"/>
                <w:bCs w:val="false"/>
                <w:sz w:val="18"/>
                <w:szCs w:val="18"/>
              </w:rPr>
              <w:t xml:space="preserve">Preparación y limpieza de la base; diseño de variables de 12 meses móviles; modelado, validación cruzada y diagnóstico; construcción del simulador; documentación y repositorio. El código y el análisis se desarrollaron con apoyo de un asistente de IA (Claude, de Anthropic), bajo revisión del equipo.</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Líderes (coordinación del proyecto)</w:t>
            </w:r>
          </w:p>
        </w:tc>
        <w:tc>
          <w:tcPr>
            <w:tcW w:type="dxa" w:w="170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[nombres]</w:t>
            </w:r>
          </w:p>
        </w:tc>
        <w:tc>
          <w:tcPr>
            <w:tcW w:type="dxa" w:w="5360"/>
            <w:tcMar>
              <w:top w:type="dxa" w:w="50"/>
              <w:left w:type="dxa" w:w="90"/>
              <w:bottom w:type="dxa" w:w="50"/>
              <w:right w:type="dxa" w:w="90"/>
            </w:tcMar>
            <w:vAlign w:val="center"/>
          </w:tcPr>
          <w:p>
            <w:pPr>
              <w:spacing w:after="20"/>
              <w:jc w:val="left"/>
            </w:pPr>
            <w:r>
              <w:rPr>
                <w:b w:val="false"/>
                <w:bCs w:val="false"/>
                <w:sz w:val="18"/>
                <w:szCs w:val="18"/>
              </w:rPr>
              <w:t xml:space="preserve">Definición del problema y de los escenarios (regular, estable, optimista); decisión sobre el tratamiento de devoluciones, aves y la participación en cerdos; modelar crecimiento nominal; omitir perros y gatos; dejar solo lo que dicen los datos en la hipótesis de inflación y animales de compañía; compilación de las fuentes de datos.</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Jefes y jefas (patrocinio y decisión)</w:t>
            </w:r>
          </w:p>
        </w:tc>
        <w:tc>
          <w:tcPr>
            <w:tcW w:type="dxa" w:w="170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[nombres]</w:t>
            </w:r>
          </w:p>
        </w:tc>
        <w:tc>
          <w:tcPr>
            <w:tcW w:type="dxa" w:w="536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[Definir: quién usa la proyección para decidir, validación de costos del error y de la proporción 2:1, autorización de datos, aprobación del uso del simulador y de su difusión]</w:t>
            </w:r>
            <w:r>
              <w:rPr>
                <w:b w:val="false"/>
                <w:bCs w:val="false"/>
                <w:sz w:val="18"/>
                <w:szCs w:val="18"/>
              </w:rPr>
              <w:t xml:space="preserve">.</w:t>
            </w:r>
          </w:p>
        </w:tc>
      </w:tr>
    </w:tbl>
    <w:p>
      <w:pPr>
        <w:spacing w:after="100"/>
      </w:pPr>
    </w:p>
    <w:p>
      <w:pPr>
        <w:spacing w:after="120" w:line="276"/>
      </w:pPr>
      <w:r>
        <w:t xml:space="preserve">Las decisiones de negocio y de tratamiento de datos mencionadas en este informe (devoluciones válidas, aves, participación en cerdos, crecimiento nominal, completado de 2026 con modelo estacional, precios constantes en el segundo semestre de 2026, exclusión de perros y gatos, y los valores base de 2027) las tomó el equipo; el asistente de IA propuso, ejecutó y documentó.</w:t>
      </w:r>
    </w:p>
    <w:p>
      <w:pPr>
        <w:pStyle w:val="Heading1"/>
        <w:pageBreakBefore/>
        <w:spacing w:after="200" w:before="120"/>
      </w:pPr>
      <w:r>
        <w:t xml:space="preserve">Anexo A. Fuentes de datos (APA 7)</w:t>
      </w:r>
    </w:p>
    <w:p>
      <w:pPr>
        <w:spacing w:after="120" w:line="276"/>
      </w:pPr>
      <w:r>
        <w:t xml:space="preserve">Las series externas cubren de 2020 a 2026. La fecha de consulta de cada fuente debe completarse porque el contenido de estas páginas se actualiza (APA 7 pide la fecha de recuperación en ese caso).</w:t>
      </w:r>
    </w:p>
    <w:p>
      <w:pPr>
        <w:spacing w:after="140" w:line="264"/>
        <w:ind w:left="720" w:hanging="720"/>
      </w:pPr>
      <w:r>
        <w:t xml:space="preserve">Departamento Administrativo Nacional de Estadística. (s. f.-a). </w:t>
      </w:r>
      <w:r>
        <w:rPr>
          <w:i/>
          <w:iCs/>
        </w:rPr>
        <w:t xml:space="preserve">Boletín mensual: Precios de leche cruda en finca</w:t>
      </w:r>
      <w:r>
        <w:t xml:space="preserve"> [Series históricas, 2020-2026]. Sistema de Información de Precios y Abastecimiento del Sector Agropecuario (SIPSA). Recuperado el </w:t>
      </w:r>
      <w:r>
        <w:rPr>
          <w:highlight w:val="yellow"/>
          <w:highlightCs w:val="yellow"/>
        </w:rPr>
        <w:t xml:space="preserve">[día]</w:t>
      </w:r>
      <w:r>
        <w:t xml:space="preserve"> de </w:t>
      </w:r>
      <w:r>
        <w:rPr>
          <w:highlight w:val="yellow"/>
          <w:highlightCs w:val="yellow"/>
        </w:rPr>
        <w:t xml:space="preserve">[mes]</w:t>
      </w:r>
      <w:r>
        <w:t xml:space="preserve"> de </w:t>
      </w:r>
      <w:r>
        <w:rPr>
          <w:highlight w:val="yellow"/>
          <w:highlightCs w:val="yellow"/>
        </w:rPr>
        <w:t xml:space="preserve">[año]</w:t>
      </w:r>
      <w:r>
        <w:t xml:space="preserve">, de </w:t>
      </w:r>
      <w:r>
        <w:rPr>
          <w:color w:val="1F5FA8"/>
        </w:rPr>
        <w:t xml:space="preserve">https://www.dane.gov.co/index.php/estadisticas-por-tema/agropecuario/sistema-de-informacion-de-precios-sipsa/boletin-mensual-precios-de-leche-cruda-en-finca</w:t>
      </w:r>
    </w:p>
    <w:p>
      <w:pPr>
        <w:spacing w:after="140" w:line="264"/>
        <w:ind w:left="720" w:hanging="720"/>
      </w:pPr>
      <w:r>
        <w:t xml:space="preserve">Departamento Administrativo Nacional de Estadística. (s. f.-b). </w:t>
      </w:r>
      <w:r>
        <w:rPr>
          <w:i/>
          <w:iCs/>
        </w:rPr>
        <w:t xml:space="preserve">Índice de precios al consumidor (IPC): Información técnica</w:t>
      </w:r>
      <w:r>
        <w:t xml:space="preserve"> [Variación mensual del IPC por ciudades, 2020-2026]. DANE. Recuperado el </w:t>
      </w:r>
      <w:r>
        <w:rPr>
          <w:highlight w:val="yellow"/>
          <w:highlightCs w:val="yellow"/>
        </w:rPr>
        <w:t xml:space="preserve">[día]</w:t>
      </w:r>
      <w:r>
        <w:t xml:space="preserve"> de </w:t>
      </w:r>
      <w:r>
        <w:rPr>
          <w:highlight w:val="yellow"/>
          <w:highlightCs w:val="yellow"/>
        </w:rPr>
        <w:t xml:space="preserve">[mes]</w:t>
      </w:r>
      <w:r>
        <w:t xml:space="preserve"> de </w:t>
      </w:r>
      <w:r>
        <w:rPr>
          <w:highlight w:val="yellow"/>
          <w:highlightCs w:val="yellow"/>
        </w:rPr>
        <w:t xml:space="preserve">[año]</w:t>
      </w:r>
      <w:r>
        <w:t xml:space="preserve">, de </w:t>
      </w:r>
      <w:r>
        <w:rPr>
          <w:color w:val="1F5FA8"/>
        </w:rPr>
        <w:t xml:space="preserve">https://www.dane.gov.co/index.php/estadisticas-por-tema/precios-y-costos/indice-de-precios-al-consumidor-ipc/ipc-informacion-tecnica</w:t>
      </w:r>
    </w:p>
    <w:p>
      <w:pPr>
        <w:spacing w:after="140" w:line="264"/>
        <w:ind w:left="720" w:hanging="720"/>
      </w:pPr>
      <w:r>
        <w:t xml:space="preserve">Departamento Administrativo Nacional de Estadística. (s. f.-c). </w:t>
      </w:r>
      <w:r>
        <w:rPr>
          <w:i/>
          <w:iCs/>
        </w:rPr>
        <w:t xml:space="preserve">Históricos del producto interno bruto (PIB): Cuentas nacionales trimestrales</w:t>
      </w:r>
      <w:r>
        <w:t xml:space="preserve"> [Boletines técnicos, 2020-2026]. DANE. Recuperado el </w:t>
      </w:r>
      <w:r>
        <w:rPr>
          <w:highlight w:val="yellow"/>
          <w:highlightCs w:val="yellow"/>
        </w:rPr>
        <w:t xml:space="preserve">[día]</w:t>
      </w:r>
      <w:r>
        <w:t xml:space="preserve"> de </w:t>
      </w:r>
      <w:r>
        <w:rPr>
          <w:highlight w:val="yellow"/>
          <w:highlightCs w:val="yellow"/>
        </w:rPr>
        <w:t xml:space="preserve">[mes]</w:t>
      </w:r>
      <w:r>
        <w:t xml:space="preserve"> de </w:t>
      </w:r>
      <w:r>
        <w:rPr>
          <w:highlight w:val="yellow"/>
          <w:highlightCs w:val="yellow"/>
        </w:rPr>
        <w:t xml:space="preserve">[año]</w:t>
      </w:r>
      <w:r>
        <w:t xml:space="preserve">, de </w:t>
      </w:r>
      <w:r>
        <w:rPr>
          <w:color w:val="1F5FA8"/>
        </w:rPr>
        <w:t xml:space="preserve">https://www.dane.gov.co/index.php/estadisticas-por-tema/cuentas-nacionales/cuentas-nacionales-trimestrales/historicos-producto-interno-bruto-pib</w:t>
      </w:r>
    </w:p>
    <w:p>
      <w:pPr>
        <w:spacing w:after="140" w:line="264"/>
        <w:ind w:left="720" w:hanging="720"/>
      </w:pPr>
      <w:r>
        <w:t xml:space="preserve">Federación Colombiana de Ganaderos. (s. f.). </w:t>
      </w:r>
      <w:r>
        <w:rPr>
          <w:i/>
          <w:iCs/>
        </w:rPr>
        <w:t xml:space="preserve">Precios: Ganado gordo, kilo en pie, macho de ceba</w:t>
      </w:r>
      <w:r>
        <w:t xml:space="preserve"> [Datos históricos, 2020-2026]. Fedegán. Recuperado el </w:t>
      </w:r>
      <w:r>
        <w:rPr>
          <w:highlight w:val="yellow"/>
          <w:highlightCs w:val="yellow"/>
        </w:rPr>
        <w:t xml:space="preserve">[día]</w:t>
      </w:r>
      <w:r>
        <w:t xml:space="preserve"> de </w:t>
      </w:r>
      <w:r>
        <w:rPr>
          <w:highlight w:val="yellow"/>
          <w:highlightCs w:val="yellow"/>
        </w:rPr>
        <w:t xml:space="preserve">[mes]</w:t>
      </w:r>
      <w:r>
        <w:t xml:space="preserve"> de </w:t>
      </w:r>
      <w:r>
        <w:rPr>
          <w:highlight w:val="yellow"/>
          <w:highlightCs w:val="yellow"/>
        </w:rPr>
        <w:t xml:space="preserve">[año]</w:t>
      </w:r>
      <w:r>
        <w:t xml:space="preserve">, de </w:t>
      </w:r>
      <w:r>
        <w:rPr>
          <w:color w:val="1F5FA8"/>
        </w:rPr>
        <w:t xml:space="preserve">https://www.fedegan.org.co/estadisticas/precios</w:t>
      </w:r>
    </w:p>
    <w:p>
      <w:pPr>
        <w:spacing w:after="140" w:line="264"/>
        <w:ind w:left="720" w:hanging="720"/>
      </w:pPr>
      <w:r>
        <w:t xml:space="preserve">Federación Nacional de Avicultores de Colombia. (s. f.). </w:t>
      </w:r>
      <w:r>
        <w:rPr>
          <w:i/>
          <w:iCs/>
        </w:rPr>
        <w:t xml:space="preserve">Precios PEE: Huevo y pollo por kilogramo</w:t>
      </w:r>
      <w:r>
        <w:t xml:space="preserve"> [Datos históricos, 2020-2026; se consideraron muslos, pierna, pechuga y pollo entero]. Fenavi. Recuperado el </w:t>
      </w:r>
      <w:r>
        <w:rPr>
          <w:highlight w:val="yellow"/>
          <w:highlightCs w:val="yellow"/>
        </w:rPr>
        <w:t xml:space="preserve">[día]</w:t>
      </w:r>
      <w:r>
        <w:t xml:space="preserve"> de </w:t>
      </w:r>
      <w:r>
        <w:rPr>
          <w:highlight w:val="yellow"/>
          <w:highlightCs w:val="yellow"/>
        </w:rPr>
        <w:t xml:space="preserve">[mes]</w:t>
      </w:r>
      <w:r>
        <w:t xml:space="preserve"> de </w:t>
      </w:r>
      <w:r>
        <w:rPr>
          <w:highlight w:val="yellow"/>
          <w:highlightCs w:val="yellow"/>
        </w:rPr>
        <w:t xml:space="preserve">[año]</w:t>
      </w:r>
      <w:r>
        <w:t xml:space="preserve">, de </w:t>
      </w:r>
      <w:r>
        <w:rPr>
          <w:color w:val="1F5FA8"/>
        </w:rPr>
        <w:t xml:space="preserve">https://fenavi.org/precios-pee/</w:t>
      </w:r>
    </w:p>
    <w:p>
      <w:pPr>
        <w:spacing w:after="140" w:line="264"/>
        <w:ind w:left="720" w:hanging="720"/>
      </w:pPr>
      <w:r>
        <w:t xml:space="preserve">Porkcolombia. (s. f.). </w:t>
      </w:r>
      <w:r>
        <w:rPr>
          <w:i/>
          <w:iCs/>
        </w:rPr>
        <w:t xml:space="preserve">Ronda de precios: Precio del kilo de cerdo en pie, promedio mensual</w:t>
      </w:r>
      <w:r>
        <w:t xml:space="preserve"> [Datos históricos, 2020-2026]. Porkcolombia. Recuperado el </w:t>
      </w:r>
      <w:r>
        <w:rPr>
          <w:highlight w:val="yellow"/>
          <w:highlightCs w:val="yellow"/>
        </w:rPr>
        <w:t xml:space="preserve">[día]</w:t>
      </w:r>
      <w:r>
        <w:t xml:space="preserve"> de </w:t>
      </w:r>
      <w:r>
        <w:rPr>
          <w:highlight w:val="yellow"/>
          <w:highlightCs w:val="yellow"/>
        </w:rPr>
        <w:t xml:space="preserve">[mes]</w:t>
      </w:r>
      <w:r>
        <w:t xml:space="preserve"> de </w:t>
      </w:r>
      <w:r>
        <w:rPr>
          <w:highlight w:val="yellow"/>
          <w:highlightCs w:val="yellow"/>
        </w:rPr>
        <w:t xml:space="preserve">[año]</w:t>
      </w:r>
      <w:r>
        <w:t xml:space="preserve">, de </w:t>
      </w:r>
      <w:r>
        <w:rPr>
          <w:color w:val="1F5FA8"/>
        </w:rPr>
        <w:t xml:space="preserve">https://porkcolombia.co/ronda-de-precios/</w:t>
      </w:r>
    </w:p>
    <w:p>
      <w:pPr>
        <w:spacing w:after="140" w:line="264"/>
        <w:ind w:left="720" w:hanging="720"/>
      </w:pPr>
      <w:r>
        <w:t xml:space="preserve">Siigo. (s. f.). </w:t>
      </w:r>
      <w:r>
        <w:rPr>
          <w:i/>
          <w:iCs/>
        </w:rPr>
        <w:t xml:space="preserve">Salario mínimo vigente</w:t>
      </w:r>
      <w:r>
        <w:t xml:space="preserve"> [Entrada de blog sobre derecho laboral; aumentos del salario mínimo legal mensual vigente, 2020-2026]. Siigo. Recuperado el </w:t>
      </w:r>
      <w:r>
        <w:rPr>
          <w:highlight w:val="yellow"/>
          <w:highlightCs w:val="yellow"/>
        </w:rPr>
        <w:t xml:space="preserve">[día]</w:t>
      </w:r>
      <w:r>
        <w:t xml:space="preserve"> de </w:t>
      </w:r>
      <w:r>
        <w:rPr>
          <w:highlight w:val="yellow"/>
          <w:highlightCs w:val="yellow"/>
        </w:rPr>
        <w:t xml:space="preserve">[mes]</w:t>
      </w:r>
      <w:r>
        <w:t xml:space="preserve"> de </w:t>
      </w:r>
      <w:r>
        <w:rPr>
          <w:highlight w:val="yellow"/>
          <w:highlightCs w:val="yellow"/>
        </w:rPr>
        <w:t xml:space="preserve">[año]</w:t>
      </w:r>
      <w:r>
        <w:t xml:space="preserve">, de </w:t>
      </w:r>
      <w:r>
        <w:rPr>
          <w:color w:val="1F5FA8"/>
        </w:rPr>
        <w:t xml:space="preserve">https://www.siigo.com/blog/derecho-laboral/salario-minimo-vigente/</w:t>
      </w:r>
    </w:p>
    <w:p>
      <w:pPr>
        <w:keepNext/>
        <w:spacing w:after="60" w:before="160"/>
      </w:pPr>
      <w:r>
        <w:rPr>
          <w:b/>
          <w:bCs/>
          <w:color w:val="13201C"/>
          <w:sz w:val="19"/>
          <w:szCs w:val="19"/>
        </w:rPr>
        <w:t xml:space="preserve">Tabla A1. Correspondencia entre fuentes y variables de la base</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500"/>
        <w:gridCol w:w="2400"/>
        <w:gridCol w:w="4460"/>
      </w:tblGrid>
      <w:tr>
        <w:trPr>
          <w:cantSplit/>
          <w:tblHeader/>
        </w:trPr>
        <w:tc>
          <w:tcPr>
            <w:tcW w:type="dxa" w:w="2500"/>
            <w:shd w:fill="E4EEEB" w:color="auto" w:val="clear"/>
            <w:tcMar>
              <w:top w:type="dxa" w:w="50"/>
              <w:left w:type="dxa" w:w="90"/>
              <w:bottom w:type="dxa" w:w="50"/>
              <w:right w:type="dxa" w:w="90"/>
            </w:tcMar>
            <w:vAlign w:val="center"/>
          </w:tcPr>
          <w:p>
            <w:pPr>
              <w:spacing w:after="20"/>
              <w:jc w:val="left"/>
            </w:pPr>
            <w:r>
              <w:rPr>
                <w:b/>
                <w:bCs/>
                <w:sz w:val="18"/>
                <w:szCs w:val="18"/>
              </w:rPr>
              <w:t xml:space="preserve">Fuente</w:t>
            </w:r>
          </w:p>
        </w:tc>
        <w:tc>
          <w:tcPr>
            <w:tcW w:type="dxa" w:w="2400"/>
            <w:shd w:fill="E4EEEB" w:color="auto" w:val="clear"/>
            <w:tcMar>
              <w:top w:type="dxa" w:w="50"/>
              <w:left w:type="dxa" w:w="90"/>
              <w:bottom w:type="dxa" w:w="50"/>
              <w:right w:type="dxa" w:w="90"/>
            </w:tcMar>
            <w:vAlign w:val="center"/>
          </w:tcPr>
          <w:p>
            <w:pPr>
              <w:spacing w:after="20"/>
              <w:jc w:val="left"/>
            </w:pPr>
            <w:r>
              <w:rPr>
                <w:b/>
                <w:bCs/>
                <w:sz w:val="18"/>
                <w:szCs w:val="18"/>
              </w:rPr>
              <w:t xml:space="preserve">Variable en la base</w:t>
            </w:r>
          </w:p>
        </w:tc>
        <w:tc>
          <w:tcPr>
            <w:tcW w:type="dxa" w:w="4460"/>
            <w:shd w:fill="E4EEEB" w:color="auto" w:val="clear"/>
            <w:tcMar>
              <w:top w:type="dxa" w:w="50"/>
              <w:left w:type="dxa" w:w="90"/>
              <w:bottom w:type="dxa" w:w="50"/>
              <w:right w:type="dxa" w:w="90"/>
            </w:tcMar>
            <w:vAlign w:val="center"/>
          </w:tcPr>
          <w:p>
            <w:pPr>
              <w:spacing w:after="20"/>
              <w:jc w:val="left"/>
            </w:pPr>
            <w:r>
              <w:rPr>
                <w:b/>
                <w:bCs/>
                <w:sz w:val="18"/>
                <w:szCs w:val="18"/>
              </w:rPr>
              <w:t xml:space="preserve">Observaciones por confirmar</w:t>
            </w:r>
          </w:p>
        </w:tc>
      </w:tr>
      <w:tr>
        <w:trPr>
          <w:cantSplit/>
        </w:trPr>
        <w:tc>
          <w:tcPr>
            <w:tcW w:type="dxa" w:w="2500"/>
            <w:tcMar>
              <w:top w:type="dxa" w:w="50"/>
              <w:left w:type="dxa" w:w="90"/>
              <w:bottom w:type="dxa" w:w="50"/>
              <w:right w:type="dxa" w:w="90"/>
            </w:tcMar>
            <w:vAlign w:val="center"/>
          </w:tcPr>
          <w:p>
            <w:pPr>
              <w:spacing w:after="20"/>
              <w:jc w:val="left"/>
            </w:pPr>
            <w:r>
              <w:rPr>
                <w:b/>
                <w:bCs/>
                <w:sz w:val="18"/>
                <w:szCs w:val="18"/>
              </w:rPr>
              <w:t xml:space="preserve">DANE, SIPSA (leche)</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Precio Leche</w:t>
            </w:r>
          </w:p>
        </w:tc>
        <w:tc>
          <w:tcPr>
            <w:tcW w:type="dxa" w:w="4460"/>
            <w:tcMar>
              <w:top w:type="dxa" w:w="50"/>
              <w:left w:type="dxa" w:w="90"/>
              <w:bottom w:type="dxa" w:w="50"/>
              <w:right w:type="dxa" w:w="90"/>
            </w:tcMar>
            <w:vAlign w:val="center"/>
          </w:tcPr>
          <w:p>
            <w:pPr>
              <w:spacing w:after="20"/>
              <w:jc w:val="left"/>
            </w:pPr>
            <w:r>
              <w:rPr>
                <w:b w:val="false"/>
                <w:bCs w:val="false"/>
                <w:sz w:val="18"/>
                <w:szCs w:val="18"/>
              </w:rPr>
              <w:t xml:space="preserve">Unidad (COP/litro) y si es promedio nacional.</w:t>
            </w:r>
          </w:p>
        </w:tc>
      </w:tr>
      <w:tr>
        <w:trPr>
          <w:cantSplit/>
        </w:trPr>
        <w:tc>
          <w:tcPr>
            <w:tcW w:type="dxa" w:w="2500"/>
            <w:tcMar>
              <w:top w:type="dxa" w:w="50"/>
              <w:left w:type="dxa" w:w="90"/>
              <w:bottom w:type="dxa" w:w="50"/>
              <w:right w:type="dxa" w:w="90"/>
            </w:tcMar>
            <w:vAlign w:val="center"/>
          </w:tcPr>
          <w:p>
            <w:pPr>
              <w:spacing w:after="20"/>
              <w:jc w:val="left"/>
            </w:pPr>
            <w:r>
              <w:rPr>
                <w:b/>
                <w:bCs/>
                <w:sz w:val="18"/>
                <w:szCs w:val="18"/>
              </w:rPr>
              <w:t xml:space="preserve">Fedegán</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Precio Carne Res</w:t>
            </w:r>
          </w:p>
        </w:tc>
        <w:tc>
          <w:tcPr>
            <w:tcW w:type="dxa" w:w="4460"/>
            <w:tcMar>
              <w:top w:type="dxa" w:w="50"/>
              <w:left w:type="dxa" w:w="90"/>
              <w:bottom w:type="dxa" w:w="50"/>
              <w:right w:type="dxa" w:w="90"/>
            </w:tcMar>
            <w:vAlign w:val="center"/>
          </w:tcPr>
          <w:p>
            <w:pPr>
              <w:spacing w:after="20"/>
              <w:jc w:val="left"/>
            </w:pPr>
            <w:r>
              <w:rPr>
                <w:b w:val="false"/>
                <w:bCs w:val="false"/>
                <w:sz w:val="18"/>
                <w:szCs w:val="18"/>
              </w:rPr>
              <w:t xml:space="preserve">La fuente es el precio del ganado gordo en pie (macho de ceba). La variable de la base se llama "carne res"; en el planteamiento inicial se hablaba de carne en canal. </w:t>
            </w:r>
            <w:r>
              <w:rPr>
                <w:b w:val="false"/>
                <w:bCs w:val="false"/>
                <w:sz w:val="18"/>
                <w:szCs w:val="18"/>
                <w:highlight w:val="yellow"/>
                <w:highlightCs w:val="yellow"/>
              </w:rPr>
              <w:t xml:space="preserve">[Confirmar cuál es el precio usado]</w:t>
            </w:r>
            <w:r>
              <w:rPr>
                <w:b w:val="false"/>
                <w:bCs w:val="false"/>
                <w:sz w:val="18"/>
                <w:szCs w:val="18"/>
              </w:rPr>
              <w:t xml:space="preserve">.</w:t>
            </w:r>
          </w:p>
        </w:tc>
      </w:tr>
      <w:tr>
        <w:trPr>
          <w:cantSplit/>
        </w:trPr>
        <w:tc>
          <w:tcPr>
            <w:tcW w:type="dxa" w:w="2500"/>
            <w:tcMar>
              <w:top w:type="dxa" w:w="50"/>
              <w:left w:type="dxa" w:w="90"/>
              <w:bottom w:type="dxa" w:w="50"/>
              <w:right w:type="dxa" w:w="90"/>
            </w:tcMar>
            <w:vAlign w:val="center"/>
          </w:tcPr>
          <w:p>
            <w:pPr>
              <w:spacing w:after="20"/>
              <w:jc w:val="left"/>
            </w:pPr>
            <w:r>
              <w:rPr>
                <w:b/>
                <w:bCs/>
                <w:sz w:val="18"/>
                <w:szCs w:val="18"/>
              </w:rPr>
              <w:t xml:space="preserve">Porkcolombia</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Precio carne cerdo</w:t>
            </w:r>
          </w:p>
        </w:tc>
        <w:tc>
          <w:tcPr>
            <w:tcW w:type="dxa" w:w="4460"/>
            <w:tcMar>
              <w:top w:type="dxa" w:w="50"/>
              <w:left w:type="dxa" w:w="90"/>
              <w:bottom w:type="dxa" w:w="50"/>
              <w:right w:type="dxa" w:w="90"/>
            </w:tcMar>
            <w:vAlign w:val="center"/>
          </w:tcPr>
          <w:p>
            <w:pPr>
              <w:spacing w:after="20"/>
              <w:jc w:val="left"/>
            </w:pPr>
            <w:r>
              <w:rPr>
                <w:b w:val="false"/>
                <w:bCs w:val="false"/>
                <w:sz w:val="18"/>
                <w:szCs w:val="18"/>
              </w:rPr>
              <w:t xml:space="preserve">Precio del kilo de cerdo en pie, promedio mensual.</w:t>
            </w:r>
          </w:p>
        </w:tc>
      </w:tr>
      <w:tr>
        <w:trPr>
          <w:cantSplit/>
        </w:trPr>
        <w:tc>
          <w:tcPr>
            <w:tcW w:type="dxa" w:w="2500"/>
            <w:tcMar>
              <w:top w:type="dxa" w:w="50"/>
              <w:left w:type="dxa" w:w="90"/>
              <w:bottom w:type="dxa" w:w="50"/>
              <w:right w:type="dxa" w:w="90"/>
            </w:tcMar>
            <w:vAlign w:val="center"/>
          </w:tcPr>
          <w:p>
            <w:pPr>
              <w:spacing w:after="20"/>
              <w:jc w:val="left"/>
            </w:pPr>
            <w:r>
              <w:rPr>
                <w:b/>
                <w:bCs/>
                <w:sz w:val="18"/>
                <w:szCs w:val="18"/>
              </w:rPr>
              <w:t xml:space="preserve">Fenavi</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Precio huevo; Precio Pollo</w:t>
            </w:r>
          </w:p>
        </w:tc>
        <w:tc>
          <w:tcPr>
            <w:tcW w:type="dxa" w:w="446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[Confirmar cómo se combinaron muslos, pierna, pechuga y pollo entero en una sola serie de pollo, y la unidad del huevo]</w:t>
            </w:r>
            <w:r>
              <w:rPr>
                <w:b w:val="false"/>
                <w:bCs w:val="false"/>
                <w:sz w:val="18"/>
                <w:szCs w:val="18"/>
              </w:rPr>
              <w:t xml:space="preserve">.</w:t>
            </w:r>
          </w:p>
        </w:tc>
      </w:tr>
      <w:tr>
        <w:trPr>
          <w:cantSplit/>
        </w:trPr>
        <w:tc>
          <w:tcPr>
            <w:tcW w:type="dxa" w:w="2500"/>
            <w:tcMar>
              <w:top w:type="dxa" w:w="50"/>
              <w:left w:type="dxa" w:w="90"/>
              <w:bottom w:type="dxa" w:w="50"/>
              <w:right w:type="dxa" w:w="90"/>
            </w:tcMar>
            <w:vAlign w:val="center"/>
          </w:tcPr>
          <w:p>
            <w:pPr>
              <w:spacing w:after="20"/>
              <w:jc w:val="left"/>
            </w:pPr>
            <w:r>
              <w:rPr>
                <w:b/>
                <w:bCs/>
                <w:sz w:val="18"/>
                <w:szCs w:val="18"/>
              </w:rPr>
              <w:t xml:space="preserve">DANE, IPC</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IPC; Inflación Mensual</w:t>
            </w:r>
          </w:p>
        </w:tc>
        <w:tc>
          <w:tcPr>
            <w:tcW w:type="dxa" w:w="4460"/>
            <w:tcMar>
              <w:top w:type="dxa" w:w="50"/>
              <w:left w:type="dxa" w:w="90"/>
              <w:bottom w:type="dxa" w:w="50"/>
              <w:right w:type="dxa" w:w="90"/>
            </w:tcMar>
            <w:vAlign w:val="center"/>
          </w:tcPr>
          <w:p>
            <w:pPr>
              <w:spacing w:after="20"/>
              <w:jc w:val="left"/>
            </w:pPr>
            <w:r>
              <w:rPr>
                <w:b w:val="false"/>
                <w:bCs w:val="false"/>
                <w:sz w:val="18"/>
                <w:szCs w:val="18"/>
              </w:rPr>
              <w:t xml:space="preserve">La fuente publica variación por ciudades; la base tiene una serie nacional. </w:t>
            </w:r>
            <w:r>
              <w:rPr>
                <w:b w:val="false"/>
                <w:bCs w:val="false"/>
                <w:sz w:val="18"/>
                <w:szCs w:val="18"/>
                <w:highlight w:val="yellow"/>
                <w:highlightCs w:val="yellow"/>
              </w:rPr>
              <w:t xml:space="preserve">[Confirmar si es el total nacional]</w:t>
            </w:r>
            <w:r>
              <w:rPr>
                <w:b w:val="false"/>
                <w:bCs w:val="false"/>
                <w:sz w:val="18"/>
                <w:szCs w:val="18"/>
              </w:rPr>
              <w:t xml:space="preserve">.</w:t>
            </w:r>
          </w:p>
        </w:tc>
      </w:tr>
      <w:tr>
        <w:trPr>
          <w:cantSplit/>
        </w:trPr>
        <w:tc>
          <w:tcPr>
            <w:tcW w:type="dxa" w:w="2500"/>
            <w:tcMar>
              <w:top w:type="dxa" w:w="50"/>
              <w:left w:type="dxa" w:w="90"/>
              <w:bottom w:type="dxa" w:w="50"/>
              <w:right w:type="dxa" w:w="90"/>
            </w:tcMar>
            <w:vAlign w:val="center"/>
          </w:tcPr>
          <w:p>
            <w:pPr>
              <w:spacing w:after="20"/>
              <w:jc w:val="left"/>
            </w:pPr>
            <w:r>
              <w:rPr>
                <w:b/>
                <w:bCs/>
                <w:sz w:val="18"/>
                <w:szCs w:val="18"/>
              </w:rPr>
              <w:t xml:space="preserve">DANE, PIB</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PIB; PIB Agro</w:t>
            </w:r>
          </w:p>
        </w:tc>
        <w:tc>
          <w:tcPr>
            <w:tcW w:type="dxa" w:w="4460"/>
            <w:tcMar>
              <w:top w:type="dxa" w:w="50"/>
              <w:left w:type="dxa" w:w="90"/>
              <w:bottom w:type="dxa" w:w="50"/>
              <w:right w:type="dxa" w:w="90"/>
            </w:tcMar>
            <w:vAlign w:val="center"/>
          </w:tcPr>
          <w:p>
            <w:pPr>
              <w:spacing w:after="20"/>
              <w:jc w:val="left"/>
            </w:pPr>
            <w:r>
              <w:rPr>
                <w:b w:val="false"/>
                <w:bCs w:val="false"/>
                <w:sz w:val="18"/>
                <w:szCs w:val="18"/>
              </w:rPr>
              <w:t xml:space="preserve">Un valor por año; </w:t>
            </w:r>
            <w:r>
              <w:rPr>
                <w:b w:val="false"/>
                <w:bCs w:val="false"/>
                <w:sz w:val="18"/>
                <w:szCs w:val="18"/>
                <w:highlight w:val="yellow"/>
                <w:highlightCs w:val="yellow"/>
              </w:rPr>
              <w:t xml:space="preserve">[confirmar si 2026 es un pronóstico o un dato observado]</w:t>
            </w:r>
            <w:r>
              <w:rPr>
                <w:b w:val="false"/>
                <w:bCs w:val="false"/>
                <w:sz w:val="18"/>
                <w:szCs w:val="18"/>
              </w:rPr>
              <w:t xml:space="preserve">.</w:t>
            </w:r>
          </w:p>
        </w:tc>
      </w:tr>
      <w:tr>
        <w:trPr>
          <w:cantSplit/>
        </w:trPr>
        <w:tc>
          <w:tcPr>
            <w:tcW w:type="dxa" w:w="2500"/>
            <w:tcMar>
              <w:top w:type="dxa" w:w="50"/>
              <w:left w:type="dxa" w:w="90"/>
              <w:bottom w:type="dxa" w:w="50"/>
              <w:right w:type="dxa" w:w="90"/>
            </w:tcMar>
            <w:vAlign w:val="center"/>
          </w:tcPr>
          <w:p>
            <w:pPr>
              <w:spacing w:after="20"/>
              <w:jc w:val="left"/>
            </w:pPr>
            <w:r>
              <w:rPr>
                <w:b/>
                <w:bCs/>
                <w:sz w:val="18"/>
                <w:szCs w:val="18"/>
              </w:rPr>
              <w:t xml:space="preserve">Siigo</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Porc Crec SMMLV</w:t>
            </w:r>
          </w:p>
        </w:tc>
        <w:tc>
          <w:tcPr>
            <w:tcW w:type="dxa" w:w="4460"/>
            <w:tcMar>
              <w:top w:type="dxa" w:w="50"/>
              <w:left w:type="dxa" w:w="90"/>
              <w:bottom w:type="dxa" w:w="50"/>
              <w:right w:type="dxa" w:w="90"/>
            </w:tcMar>
            <w:vAlign w:val="center"/>
          </w:tcPr>
          <w:p>
            <w:pPr>
              <w:spacing w:after="20"/>
              <w:jc w:val="left"/>
            </w:pPr>
            <w:r>
              <w:rPr>
                <w:b w:val="false"/>
                <w:bCs w:val="false"/>
                <w:sz w:val="18"/>
                <w:szCs w:val="18"/>
              </w:rPr>
              <w:t xml:space="preserve">Fuente secundaria (blog comercial). Se recomienda verificar contra los decretos oficiales del Gobierno nacional.</w:t>
            </w:r>
          </w:p>
        </w:tc>
      </w:tr>
      <w:tr>
        <w:trPr>
          <w:cantSplit/>
        </w:trPr>
        <w:tc>
          <w:tcPr>
            <w:tcW w:type="dxa" w:w="2500"/>
            <w:tcMar>
              <w:top w:type="dxa" w:w="50"/>
              <w:left w:type="dxa" w:w="90"/>
              <w:bottom w:type="dxa" w:w="50"/>
              <w:right w:type="dxa" w:w="90"/>
            </w:tcMar>
            <w:vAlign w:val="center"/>
          </w:tcPr>
          <w:p>
            <w:pPr>
              <w:spacing w:after="20"/>
              <w:jc w:val="left"/>
            </w:pPr>
            <w:r>
              <w:rPr>
                <w:b/>
                <w:bCs/>
                <w:sz w:val="18"/>
                <w:szCs w:val="18"/>
              </w:rPr>
              <w:t xml:space="preserve">Sin fuente listada</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Perros; Gatos</w:t>
            </w:r>
          </w:p>
        </w:tc>
        <w:tc>
          <w:tcPr>
            <w:tcW w:type="dxa" w:w="446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[Indicar la fuente de la población de perros y gatos]</w:t>
            </w:r>
            <w:r>
              <w:rPr>
                <w:b w:val="false"/>
                <w:bCs w:val="false"/>
                <w:sz w:val="18"/>
                <w:szCs w:val="18"/>
              </w:rPr>
              <w:t xml:space="preserve">.</w:t>
            </w:r>
          </w:p>
        </w:tc>
      </w:tr>
      <w:tr>
        <w:trPr>
          <w:cantSplit/>
        </w:trPr>
        <w:tc>
          <w:tcPr>
            <w:tcW w:type="dxa" w:w="2500"/>
            <w:tcMar>
              <w:top w:type="dxa" w:w="50"/>
              <w:left w:type="dxa" w:w="90"/>
              <w:bottom w:type="dxa" w:w="50"/>
              <w:right w:type="dxa" w:w="90"/>
            </w:tcMar>
            <w:vAlign w:val="center"/>
          </w:tcPr>
          <w:p>
            <w:pPr>
              <w:spacing w:after="20"/>
              <w:jc w:val="left"/>
            </w:pPr>
            <w:r>
              <w:rPr>
                <w:b/>
                <w:bCs/>
                <w:sz w:val="18"/>
                <w:szCs w:val="18"/>
              </w:rPr>
              <w:t xml:space="preserve">Sin fuente listada</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Mercado; Venta Laboratorio; Share Laboratorio</w:t>
            </w:r>
          </w:p>
        </w:tc>
        <w:tc>
          <w:tcPr>
            <w:tcW w:type="dxa" w:w="446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[Indicar proveedor y definición de las ventas de mercado y del Laboratorio]</w:t>
            </w:r>
            <w:r>
              <w:rPr>
                <w:b w:val="false"/>
                <w:bCs w:val="false"/>
                <w:sz w:val="18"/>
                <w:szCs w:val="18"/>
              </w:rPr>
              <w:t xml:space="preserve">.</w:t>
            </w:r>
          </w:p>
        </w:tc>
      </w:tr>
    </w:tbl>
    <w:p>
      <w:pPr>
        <w:spacing w:after="100"/>
      </w:pPr>
    </w:p>
    <w:p>
      <w:pPr>
        <w:pStyle w:val="Heading1"/>
      </w:pPr>
      <w:r>
        <w:t xml:space="preserve">Anexo B. Reproducibilidad</w:t>
      </w:r>
    </w:p>
    <w:p>
      <w:pPr>
        <w:spacing w:after="120" w:line="276"/>
      </w:pPr>
      <w:r>
        <w:t xml:space="preserve">Todo el análisis está en el repositorio. Orden de ejecución:</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800"/>
        <w:gridCol w:w="3900"/>
        <w:gridCol w:w="4660"/>
      </w:tblGrid>
      <w:tr>
        <w:trPr>
          <w:cantSplit/>
          <w:tblHeader/>
        </w:trPr>
        <w:tc>
          <w:tcPr>
            <w:tcW w:type="dxa" w:w="800"/>
            <w:shd w:fill="E4EEEB" w:color="auto" w:val="clear"/>
            <w:tcMar>
              <w:top w:type="dxa" w:w="50"/>
              <w:left w:type="dxa" w:w="90"/>
              <w:bottom w:type="dxa" w:w="50"/>
              <w:right w:type="dxa" w:w="90"/>
            </w:tcMar>
            <w:vAlign w:val="center"/>
          </w:tcPr>
          <w:p>
            <w:pPr>
              <w:spacing w:after="20"/>
              <w:jc w:val="left"/>
            </w:pPr>
            <w:r>
              <w:rPr>
                <w:b/>
                <w:bCs/>
                <w:sz w:val="18"/>
                <w:szCs w:val="18"/>
              </w:rPr>
              <w:t xml:space="preserve">Paso</w:t>
            </w:r>
          </w:p>
        </w:tc>
        <w:tc>
          <w:tcPr>
            <w:tcW w:type="dxa" w:w="3900"/>
            <w:shd w:fill="E4EEEB" w:color="auto" w:val="clear"/>
            <w:tcMar>
              <w:top w:type="dxa" w:w="50"/>
              <w:left w:type="dxa" w:w="90"/>
              <w:bottom w:type="dxa" w:w="50"/>
              <w:right w:type="dxa" w:w="90"/>
            </w:tcMar>
            <w:vAlign w:val="center"/>
          </w:tcPr>
          <w:p>
            <w:pPr>
              <w:spacing w:after="20"/>
              <w:jc w:val="left"/>
            </w:pPr>
            <w:r>
              <w:rPr>
                <w:b/>
                <w:bCs/>
                <w:sz w:val="18"/>
                <w:szCs w:val="18"/>
              </w:rPr>
              <w:t xml:space="preserve">Script</w:t>
            </w:r>
          </w:p>
        </w:tc>
        <w:tc>
          <w:tcPr>
            <w:tcW w:type="dxa" w:w="4660"/>
            <w:shd w:fill="E4EEEB" w:color="auto" w:val="clear"/>
            <w:tcMar>
              <w:top w:type="dxa" w:w="50"/>
              <w:left w:type="dxa" w:w="90"/>
              <w:bottom w:type="dxa" w:w="50"/>
              <w:right w:type="dxa" w:w="90"/>
            </w:tcMar>
            <w:vAlign w:val="center"/>
          </w:tcPr>
          <w:p>
            <w:pPr>
              <w:spacing w:after="20"/>
              <w:jc w:val="left"/>
            </w:pPr>
            <w:r>
              <w:rPr>
                <w:b/>
                <w:bCs/>
                <w:sz w:val="18"/>
                <w:szCs w:val="18"/>
              </w:rPr>
              <w:t xml:space="preserve">Función</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1</w:t>
            </w:r>
          </w:p>
        </w:tc>
        <w:tc>
          <w:tcPr>
            <w:tcW w:type="dxa" w:w="3900"/>
            <w:tcMar>
              <w:top w:type="dxa" w:w="50"/>
              <w:left w:type="dxa" w:w="90"/>
              <w:bottom w:type="dxa" w:w="50"/>
              <w:right w:type="dxa" w:w="90"/>
            </w:tcMar>
            <w:vAlign w:val="center"/>
          </w:tcPr>
          <w:p>
            <w:pPr>
              <w:spacing w:after="20"/>
              <w:jc w:val="left"/>
            </w:pPr>
            <w:r>
              <w:rPr>
                <w:sz w:val="18"/>
                <w:szCs w:val="18"/>
              </w:rPr>
              <w:t xml:space="preserve">src/prepare_data.py</w:t>
            </w:r>
          </w:p>
        </w:tc>
        <w:tc>
          <w:tcPr>
            <w:tcW w:type="dxa" w:w="4660"/>
            <w:tcMar>
              <w:top w:type="dxa" w:w="50"/>
              <w:left w:type="dxa" w:w="90"/>
              <w:bottom w:type="dxa" w:w="50"/>
              <w:right w:type="dxa" w:w="90"/>
            </w:tcMar>
            <w:vAlign w:val="center"/>
          </w:tcPr>
          <w:p>
            <w:pPr>
              <w:spacing w:after="20"/>
              <w:jc w:val="left"/>
            </w:pPr>
            <w:r>
              <w:rPr>
                <w:sz w:val="18"/>
                <w:szCs w:val="18"/>
              </w:rPr>
              <w:t xml:space="preserve">Limpieza y completado estacional de julio a diciembre de 2026 (con prueba retrospectiva).</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2</w:t>
            </w:r>
          </w:p>
        </w:tc>
        <w:tc>
          <w:tcPr>
            <w:tcW w:type="dxa" w:w="3900"/>
            <w:tcMar>
              <w:top w:type="dxa" w:w="50"/>
              <w:left w:type="dxa" w:w="90"/>
              <w:bottom w:type="dxa" w:w="50"/>
              <w:right w:type="dxa" w:w="90"/>
            </w:tcMar>
            <w:vAlign w:val="center"/>
          </w:tcPr>
          <w:p>
            <w:pPr>
              <w:spacing w:after="20"/>
              <w:jc w:val="left"/>
            </w:pPr>
            <w:r>
              <w:rPr>
                <w:sz w:val="18"/>
                <w:szCs w:val="18"/>
              </w:rPr>
              <w:t xml:space="preserve">src/build_features.py</w:t>
            </w:r>
          </w:p>
        </w:tc>
        <w:tc>
          <w:tcPr>
            <w:tcW w:type="dxa" w:w="4660"/>
            <w:tcMar>
              <w:top w:type="dxa" w:w="50"/>
              <w:left w:type="dxa" w:w="90"/>
              <w:bottom w:type="dxa" w:w="50"/>
              <w:right w:type="dxa" w:w="90"/>
            </w:tcMar>
            <w:vAlign w:val="center"/>
          </w:tcPr>
          <w:p>
            <w:pPr>
              <w:spacing w:after="20"/>
              <w:jc w:val="left"/>
            </w:pPr>
            <w:r>
              <w:rPr>
                <w:sz w:val="18"/>
                <w:szCs w:val="18"/>
              </w:rPr>
              <w:t xml:space="preserve">Variables de 12 meses móviles y partición temporal.</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3</w:t>
            </w:r>
          </w:p>
        </w:tc>
        <w:tc>
          <w:tcPr>
            <w:tcW w:type="dxa" w:w="3900"/>
            <w:tcMar>
              <w:top w:type="dxa" w:w="50"/>
              <w:left w:type="dxa" w:w="90"/>
              <w:bottom w:type="dxa" w:w="50"/>
              <w:right w:type="dxa" w:w="90"/>
            </w:tcMar>
            <w:vAlign w:val="center"/>
          </w:tcPr>
          <w:p>
            <w:pPr>
              <w:spacing w:after="20"/>
              <w:jc w:val="left"/>
            </w:pPr>
            <w:r>
              <w:rPr>
                <w:sz w:val="18"/>
                <w:szCs w:val="18"/>
              </w:rPr>
              <w:t xml:space="preserve">src/protocolo.py dev</w:t>
            </w:r>
          </w:p>
        </w:tc>
        <w:tc>
          <w:tcPr>
            <w:tcW w:type="dxa" w:w="4660"/>
            <w:tcMar>
              <w:top w:type="dxa" w:w="50"/>
              <w:left w:type="dxa" w:w="90"/>
              <w:bottom w:type="dxa" w:w="50"/>
              <w:right w:type="dxa" w:w="90"/>
            </w:tcMar>
            <w:vAlign w:val="center"/>
          </w:tcPr>
          <w:p>
            <w:pPr>
              <w:spacing w:after="20"/>
              <w:jc w:val="left"/>
            </w:pPr>
            <w:r>
              <w:rPr>
                <w:sz w:val="18"/>
                <w:szCs w:val="18"/>
              </w:rPr>
              <w:t xml:space="preserve">Validación cruzada con purga, selección, umbral y diagnósticos (sin tocar la prueba).</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4</w:t>
            </w:r>
          </w:p>
        </w:tc>
        <w:tc>
          <w:tcPr>
            <w:tcW w:type="dxa" w:w="3900"/>
            <w:tcMar>
              <w:top w:type="dxa" w:w="50"/>
              <w:left w:type="dxa" w:w="90"/>
              <w:bottom w:type="dxa" w:w="50"/>
              <w:right w:type="dxa" w:w="90"/>
            </w:tcMar>
            <w:vAlign w:val="center"/>
          </w:tcPr>
          <w:p>
            <w:pPr>
              <w:spacing w:after="20"/>
              <w:jc w:val="left"/>
            </w:pPr>
            <w:r>
              <w:rPr>
                <w:sz w:val="18"/>
                <w:szCs w:val="18"/>
              </w:rPr>
              <w:t xml:space="preserve">src/protocolo.py prueba</w:t>
            </w:r>
          </w:p>
        </w:tc>
        <w:tc>
          <w:tcPr>
            <w:tcW w:type="dxa" w:w="4660"/>
            <w:tcMar>
              <w:top w:type="dxa" w:w="50"/>
              <w:left w:type="dxa" w:w="90"/>
              <w:bottom w:type="dxa" w:w="50"/>
              <w:right w:type="dxa" w:w="90"/>
            </w:tcMar>
            <w:vAlign w:val="center"/>
          </w:tcPr>
          <w:p>
            <w:pPr>
              <w:spacing w:after="20"/>
              <w:jc w:val="left"/>
            </w:pPr>
            <w:r>
              <w:rPr>
                <w:sz w:val="18"/>
                <w:szCs w:val="18"/>
              </w:rPr>
              <w:t xml:space="preserve">Evaluación única en prueba (con candado) y reajuste final.</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5</w:t>
            </w:r>
          </w:p>
        </w:tc>
        <w:tc>
          <w:tcPr>
            <w:tcW w:type="dxa" w:w="3900"/>
            <w:tcMar>
              <w:top w:type="dxa" w:w="50"/>
              <w:left w:type="dxa" w:w="90"/>
              <w:bottom w:type="dxa" w:w="50"/>
              <w:right w:type="dxa" w:w="90"/>
            </w:tcMar>
            <w:vAlign w:val="center"/>
          </w:tcPr>
          <w:p>
            <w:pPr>
              <w:spacing w:after="20"/>
              <w:jc w:val="left"/>
            </w:pPr>
            <w:r>
              <w:rPr>
                <w:sz w:val="18"/>
                <w:szCs w:val="18"/>
              </w:rPr>
              <w:t xml:space="preserve">src/proyeccion_2027.py</w:t>
            </w:r>
          </w:p>
        </w:tc>
        <w:tc>
          <w:tcPr>
            <w:tcW w:type="dxa" w:w="4660"/>
            <w:tcMar>
              <w:top w:type="dxa" w:w="50"/>
              <w:left w:type="dxa" w:w="90"/>
              <w:bottom w:type="dxa" w:w="50"/>
              <w:right w:type="dxa" w:w="90"/>
            </w:tcMar>
            <w:vAlign w:val="center"/>
          </w:tcPr>
          <w:p>
            <w:pPr>
              <w:spacing w:after="20"/>
              <w:jc w:val="left"/>
            </w:pPr>
            <w:r>
              <w:rPr>
                <w:sz w:val="18"/>
                <w:szCs w:val="18"/>
              </w:rPr>
              <w:t xml:space="preserve">Proyección 2027 y sensibilidad del modelo final.</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6</w:t>
            </w:r>
          </w:p>
        </w:tc>
        <w:tc>
          <w:tcPr>
            <w:tcW w:type="dxa" w:w="3900"/>
            <w:tcMar>
              <w:top w:type="dxa" w:w="50"/>
              <w:left w:type="dxa" w:w="90"/>
              <w:bottom w:type="dxa" w:w="50"/>
              <w:right w:type="dxa" w:w="90"/>
            </w:tcMar>
            <w:vAlign w:val="center"/>
          </w:tcPr>
          <w:p>
            <w:pPr>
              <w:spacing w:after="20"/>
              <w:jc w:val="left"/>
            </w:pPr>
            <w:r>
              <w:rPr>
                <w:sz w:val="18"/>
                <w:szCs w:val="18"/>
              </w:rPr>
              <w:t xml:space="preserve">src/datos_informe.py, cifras_informe.py, figuras_informe.py</w:t>
            </w:r>
          </w:p>
        </w:tc>
        <w:tc>
          <w:tcPr>
            <w:tcW w:type="dxa" w:w="4660"/>
            <w:tcMar>
              <w:top w:type="dxa" w:w="50"/>
              <w:left w:type="dxa" w:w="90"/>
              <w:bottom w:type="dxa" w:w="50"/>
              <w:right w:type="dxa" w:w="90"/>
            </w:tcMar>
            <w:vAlign w:val="center"/>
          </w:tcPr>
          <w:p>
            <w:pPr>
              <w:spacing w:after="20"/>
              <w:jc w:val="left"/>
            </w:pPr>
            <w:r>
              <w:rPr>
                <w:sz w:val="18"/>
                <w:szCs w:val="18"/>
              </w:rPr>
              <w:t xml:space="preserve">Cifras y figuras del informe.</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7</w:t>
            </w:r>
          </w:p>
        </w:tc>
        <w:tc>
          <w:tcPr>
            <w:tcW w:type="dxa" w:w="3900"/>
            <w:tcMar>
              <w:top w:type="dxa" w:w="50"/>
              <w:left w:type="dxa" w:w="90"/>
              <w:bottom w:type="dxa" w:w="50"/>
              <w:right w:type="dxa" w:w="90"/>
            </w:tcMar>
            <w:vAlign w:val="center"/>
          </w:tcPr>
          <w:p>
            <w:pPr>
              <w:spacing w:after="20"/>
              <w:jc w:val="left"/>
            </w:pPr>
            <w:r>
              <w:rPr>
                <w:sz w:val="18"/>
                <w:szCs w:val="18"/>
              </w:rPr>
              <w:t xml:space="preserve">informe/construir_informe.js</w:t>
            </w:r>
          </w:p>
        </w:tc>
        <w:tc>
          <w:tcPr>
            <w:tcW w:type="dxa" w:w="4660"/>
            <w:tcMar>
              <w:top w:type="dxa" w:w="50"/>
              <w:left w:type="dxa" w:w="90"/>
              <w:bottom w:type="dxa" w:w="50"/>
              <w:right w:type="dxa" w:w="90"/>
            </w:tcMar>
            <w:vAlign w:val="center"/>
          </w:tcPr>
          <w:p>
            <w:pPr>
              <w:spacing w:after="20"/>
              <w:jc w:val="left"/>
            </w:pPr>
            <w:r>
              <w:rPr>
                <w:sz w:val="18"/>
                <w:szCs w:val="18"/>
              </w:rPr>
              <w:t xml:space="preserve">Genera este documento a partir de las cifras (sin cifras digitadas a mano).</w:t>
            </w:r>
          </w:p>
        </w:tc>
      </w:tr>
    </w:tbl>
    <w:p>
      <w:pPr>
        <w:spacing w:after="100"/>
      </w:pPr>
    </w:p>
    <w:p>
      <w:pPr>
        <w:keepNext/>
        <w:spacing w:after="60" w:before="160"/>
      </w:pPr>
      <w:r>
        <w:rPr>
          <w:b/>
          <w:bCs/>
          <w:color w:val="13201C"/>
          <w:sz w:val="19"/>
          <w:szCs w:val="19"/>
        </w:rPr>
        <w:t xml:space="preserve">Referencias metodológicas</w:t>
      </w:r>
    </w:p>
    <w:p>
      <w:pPr>
        <w:spacing w:after="140" w:line="264"/>
        <w:ind w:left="720" w:hanging="720"/>
      </w:pPr>
      <w:r>
        <w:t xml:space="preserve">Pedregosa, F., Varoquaux, G., Gramfort, A., Michel, V., Thirion, B., Grisel, O., Blondel, M., Prettenhofer, P., Weiss, R., Dubourg, V., Vanderplas, J., Passos, A., Cournapeau, D., Brucher, M., Perrot, M., &amp; Duchesnay, E. (2011). Scikit-learn: Machine learning in Python. </w:t>
      </w:r>
      <w:r>
        <w:rPr>
          <w:i/>
          <w:iCs/>
        </w:rPr>
        <w:t xml:space="preserve">Journal of Machine Learning Research, 12</w:t>
      </w:r>
      <w:r>
        <w:t xml:space="preserve">, 2825-2830.</w:t>
      </w:r>
    </w:p>
    <w:p>
      <w:pPr>
        <w:spacing w:after="140" w:line="264"/>
        <w:ind w:left="720" w:hanging="720"/>
      </w:pPr>
      <w: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iCs/>
        </w:rPr>
        <w:t xml:space="preserve">Ecography, 40</w:t>
      </w:r>
      <w:r>
        <w:t xml:space="preserve">(8), 913-929. https://doi.org/10.1111/ecog.02881</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E6E69"/>
        <w:sz w:val="16"/>
        <w:szCs w:val="16"/>
      </w:rPr>
      <w:t xml:space="preserve">Borrador 1 · Página </w:t>
    </w:r>
    <w:r>
      <w:rPr>
        <w:color w:val="5E6E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5D1" w:sz="4" w:space="4"/>
      </w:pBdr>
    </w:pPr>
    <w:r>
      <w:rPr>
        <w:color w:val="5E6E69"/>
        <w:sz w:val="16"/>
        <w:szCs w:val="16"/>
      </w:rPr>
      <w:t xml:space="preserve">Informe Técnico de Mercado Farmacéutico de Salud Animal en Colombia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0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Calibri" w:cs="Calibri" w:eastAsia="Calibri" w:hAnsi="Calibri"/>
      <w:b/>
      <w:bCs/>
      <w:color w:val="0B5D4F"/>
      <w:sz w:val="52"/>
      <w:szCs w:val="52"/>
    </w:rPr>
  </w:style>
  <w:style w:type="paragraph" w:styleId="Heading1">
    <w:name w:val="Heading 1"/>
    <w:basedOn w:val="Normal"/>
    <w:next w:val="Normal"/>
    <w:qFormat/>
    <w:pPr>
      <w:keepNext/>
      <w:spacing w:after="200" w:before="120"/>
      <w:outlineLvl w:val="0"/>
    </w:pPr>
    <w:rPr>
      <w:b/>
      <w:bCs/>
      <w:color w:val="0B5D4F"/>
      <w:sz w:val="34"/>
      <w:szCs w:val="34"/>
    </w:rPr>
  </w:style>
  <w:style w:type="paragraph" w:styleId="Heading2">
    <w:name w:val="Heading 2"/>
    <w:basedOn w:val="Normal"/>
    <w:next w:val="Normal"/>
    <w:qFormat/>
    <w:pPr>
      <w:keepNext/>
      <w:spacing w:after="120" w:before="280"/>
      <w:outlineLvl w:val="1"/>
    </w:pPr>
    <w:rPr>
      <w:b/>
      <w:bCs/>
      <w:color w:val="13201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e1a76f09aa9ad28a3ae0318a44ec7a68c25792.png"/><Relationship Id="rId10" Type="http://schemas.openxmlformats.org/officeDocument/2006/relationships/image" Target="media/cc2923a945caac9bd9805e34d2adf27507b4a11c.png"/><Relationship Id="rId11" Type="http://schemas.openxmlformats.org/officeDocument/2006/relationships/image" Target="media/eba343ac7e2aa48fbb7682e10ef37716580be072.png"/><Relationship Id="rId12" Type="http://schemas.openxmlformats.org/officeDocument/2006/relationships/image" Target="media/97b5d5fd55b0bd018b749f4dc43e24422d926bf6.png"/><Relationship Id="rId13" Type="http://schemas.openxmlformats.org/officeDocument/2006/relationships/image" Target="media/dc150b3e4ffb30d89b17104184aeccab70f99f19.png"/><Relationship Id="rId14" Type="http://schemas.openxmlformats.org/officeDocument/2006/relationships/image" Target="media/9964a4587dc8abe4b2b436577b528e9cc8b8b7d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Mercado Farmacéutico de Salud Animal en Colombia</dc:title>
  <dc:creator>Equipo del proyecto</dc:creator>
  <cp:lastModifiedBy>Un-named</cp:lastModifiedBy>
  <cp:revision>1</cp:revision>
  <dcterms:created xsi:type="dcterms:W3CDTF">2026-10-21T02:50:54.343Z</dcterms:created>
  <dcterms:modified xsi:type="dcterms:W3CDTF">2026-10-21T02:50:54.343Z</dcterms:modified>
</cp:coreProperties>
</file>

<file path=docProps/custom.xml><?xml version="1.0" encoding="utf-8"?>
<Properties xmlns="http://schemas.openxmlformats.org/officeDocument/2006/custom-properties" xmlns:vt="http://schemas.openxmlformats.org/officeDocument/2006/docPropsVTypes"/>
</file>