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6"/>
          <w:szCs w:val="26"/>
        </w:rPr>
      </w:pPr>
      <w:r w:rsidDel="00000000" w:rsidR="00000000" w:rsidRPr="00000000">
        <w:rPr/>
        <w:drawing>
          <wp:inline distB="114300" distT="114300" distL="114300" distR="114300">
            <wp:extent cx="4644821" cy="753903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44821" cy="75390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7654651</wp:posOffset>
                </wp:positionV>
                <wp:extent cx="5943600" cy="1126156"/>
                <wp:effectExtent b="0" l="0" r="0" t="0"/>
                <wp:wrapSquare wrapText="bothSides" distB="0" distT="0" distL="0" distR="0"/>
                <wp:docPr id="1" name=""/>
                <a:graphic>
                  <a:graphicData uri="http://schemas.microsoft.com/office/word/2010/wordprocessingShape">
                    <wps:wsp>
                      <wps:cNvSpPr txBox="1"/>
                      <wps:cNvPr id="2" name="Shape 2"/>
                      <wps:spPr>
                        <a:xfrm>
                          <a:off x="131975" y="233475"/>
                          <a:ext cx="7217400" cy="13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Supplementary Figure 1. Comparison of BRONTE with four alternative models.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For each GTEx brain tissue, we calculate Spearman correlation coefficients for each gene by comparing predicted gene expression to held-out gene expression across GTEx subjects with missing tissues. The analysis starts with GTEx subjects missing exactly one tissue (leftmost violins) and progressively includes subjects with up to five missing tissues (rightmost violins). On the x axis, “missing” indicates the number of missing tissues, “total” refers to the total number of GTEx subjects with missing tissues (no more than the specified number of missing tissues), and “genotype” represents the subset of these subjects with available genotype data. Since PrediXcan requires genotype data and is trained for a specific set of genes, we limit comparisons with PrediXcan to overlapping genes (the number in the subtitle for each tissue) and subjects with genotype data.</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7654651</wp:posOffset>
                </wp:positionV>
                <wp:extent cx="5943600" cy="1126156"/>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1126156"/>
                        </a:xfrm>
                        <a:prstGeom prst="rect"/>
                        <a:ln/>
                      </pic:spPr>
                    </pic:pic>
                  </a:graphicData>
                </a:graphic>
              </wp:anchor>
            </w:drawing>
          </mc:Fallback>
        </mc:AlternateContent>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