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0604" cy="74914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604" cy="749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7715250</wp:posOffset>
                </wp:positionV>
                <wp:extent cx="6005513" cy="968879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21800" y="233475"/>
                          <a:ext cx="7420500" cy="117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Supplementary Figure 4. Number of significant eQTLs in each tissue each trait.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Heatmap showing the number of eQTLs that are significant in both MR analysis and colocalization in each Allen tissue in each trait. 103 Allen tissues are grouped by Allen Level 4 categories and distinguished by color.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7715250</wp:posOffset>
                </wp:positionV>
                <wp:extent cx="6005513" cy="968879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5513" cy="9688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