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1F3864"/>
          <w:sz w:val="40"/>
          <w:szCs w:val="40"/>
          <w:rFonts w:ascii="Arial" w:cs="Arial" w:eastAsia="Arial" w:hAnsi="Arial"/>
        </w:rPr>
        <w:t xml:space="preserve">Kuwenta – Tech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Project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Kuwenta – personal finance and expense tracker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Document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Tech stack: languages, frameworks, libraries, infrastructure and tooling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Version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1.1 (Draft) – diagram links updated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11 October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Draft – for review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Related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kuwenta-requirements.md, kuwenta-external-apis.md, design/kuwenta-aws-overview.drawio.svg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Purpose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This document lists what Kuwenta is built with and why. Each choice is marked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Decided</w:t>
      </w:r>
      <w:r>
        <w:rPr>
          <w:sz w:val="22"/>
          <w:szCs w:val="22"/>
          <w:rFonts w:ascii="Arial" w:cs="Arial" w:eastAsia="Arial" w:hAnsi="Arial"/>
        </w:rPr>
        <w:t xml:space="preserve"> when it comes from an architecture decision in the requirements (AD-xx, MNT-xx), or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Proposed</w:t>
      </w:r>
      <w:r>
        <w:rPr>
          <w:sz w:val="22"/>
          <w:szCs w:val="22"/>
          <w:rFonts w:ascii="Arial" w:cs="Arial" w:eastAsia="Arial" w:hAnsi="Arial"/>
        </w:rPr>
        <w:t xml:space="preserve"> when it is new here and open for review. Exact package versions are pinned in </w:t>
      </w:r>
      <w:r>
        <w:rPr>
          <w:sz w:val="22"/>
          <w:szCs w:val="22"/>
          <w:rFonts w:ascii="Consolas" w:cs="Consolas" w:eastAsia="Consolas" w:hAnsi="Consolas"/>
        </w:rPr>
        <w:t xml:space="preserve">package.json</w:t>
      </w:r>
      <w:r>
        <w:rPr>
          <w:sz w:val="22"/>
          <w:szCs w:val="22"/>
          <w:rFonts w:ascii="Arial" w:cs="Arial" w:eastAsia="Arial" w:hAnsi="Arial"/>
        </w:rPr>
        <w:t xml:space="preserve"> and Terraform lock files when the repository is created; this document names major versions only where they matter.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One language end to end.</w:t>
      </w:r>
      <w:r>
        <w:rPr>
          <w:sz w:val="22"/>
          <w:szCs w:val="22"/>
          <w:rFonts w:ascii="Arial" w:cs="Arial" w:eastAsia="Arial" w:hAnsi="Arial"/>
        </w:rPr>
        <w:t xml:space="preserve"> TypeScript in the browser, the Lambdas and the shared packages, so types are written once (MNT-01).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Serverless and scale-to-zero.</w:t>
      </w:r>
      <w:r>
        <w:rPr>
          <w:sz w:val="22"/>
          <w:szCs w:val="22"/>
          <w:rFonts w:ascii="Arial" w:cs="Arial" w:eastAsia="Arial" w:hAnsi="Arial"/>
        </w:rPr>
        <w:t xml:space="preserve"> Nothing runs or costs money while nobody uses the app (CST-02).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Code for fixed formats, AI for varied ones.</w:t>
      </w:r>
      <w:r>
        <w:rPr>
          <w:sz w:val="22"/>
          <w:szCs w:val="22"/>
          <w:rFonts w:ascii="Arial" w:cs="Arial" w:eastAsia="Arial" w:hAnsi="Arial"/>
        </w:rPr>
        <w:t xml:space="preserve"> Deterministic parsers for statements; Gemini only for merchant emails and categorization (AD-18).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Same code locally and in AWS.</w:t>
      </w:r>
      <w:r>
        <w:rPr>
          <w:sz w:val="22"/>
          <w:szCs w:val="22"/>
          <w:rFonts w:ascii="Arial" w:cs="Arial" w:eastAsia="Arial" w:hAnsi="Arial"/>
        </w:rPr>
        <w:t xml:space="preserve"> Local development needs no AWS account (MNT-04).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Few, well-known dependencies.</w:t>
      </w:r>
      <w:r>
        <w:rPr>
          <w:sz w:val="22"/>
          <w:szCs w:val="22"/>
          <w:rFonts w:ascii="Arial" w:cs="Arial" w:eastAsia="Arial" w:hAnsi="Arial"/>
        </w:rPr>
        <w:t xml:space="preserve"> Prefer official SDKs and widely used libraries over niche ones.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1"/>
        <w:gridCol w:w="5525"/>
        <w:gridCol w:w="2600"/>
      </w:tblGrid>
      <w:tr>
        <w:trPr>
          <w:tblHeader/>
        </w:trP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Layer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Choice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Language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TypeScript (strict mode)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(MNT-01)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Node.js 24 LTS; AWS Lambda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nodejs24.x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on arm64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(MNT-01); arm64 Proposed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Web app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React + Vite, responsive, PWA later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(CLI-01, AD-12)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API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Amazon API Gateway HTTP API + Lambda, Hono as the router inside each Lambda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API Gateway Decided (AD-07); Hono Proposed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Auth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Amazon Cognito managed login (OIDC, authorization code + PKCE)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(AUTH-06, AD-13)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Database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Aurora PostgreSQL Serverless v2 (16.3+) via RDS Data 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(AD-02, AD-03)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ORM / migrations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Drizzle ORM + Drizzle Kit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(AD-17)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Key-value store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Amazon DynamoDB (provisioned, free tier)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(AD-05, CST-05)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AI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Google Gemini API, gemini-3.5-flash-lite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(AD-10)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PDF reading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pdf.js (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pdfjs-dist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) in the browser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(AD-16)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Infrastructure as code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Terraform, separate state per environment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(MNT-02)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Monorepo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pnpm workspaces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Testing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Vitest; Playwright later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</w:tr>
      <w:tr>
        <w:tc>
          <w:tcPr>
            <w:tcW w:type="dxa" w:w="1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CI/CD</w:t>
            </w:r>
          </w:p>
        </w:tc>
        <w:tc>
          <w:tcPr>
            <w:tcW w:type="dxa" w:w="5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GitHub Actions with AWS OIDC roles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Frontend (web app)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39"/>
        <w:gridCol w:w="2600"/>
        <w:gridCol w:w="4507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Concern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Choice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Why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Framework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React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CLI-01.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Build tool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Vite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CLI-01; fast dev server, static build for S3 + CloudFront.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Routing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React Router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Mature, simple, no server needed for a static SPA.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Server data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TanStack Query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Caching, retries and loading states; handles the "waking up the database" retry (DSH-03) cleanly.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Forms and validation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React Hook Form + Zod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Zod schemas are shared with the backend (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packages/shared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), so the browser and API validate the same way.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Styling and components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Tailwind CSS + shadcn/ui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Phone-width layouts (CLI-01) with accessible, copy-in components and no heavy UI framework.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Charts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Recharts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Simple React charts for monthly totals by category and account (DSH-01).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Auth client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react-oidc-context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(on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oidc-client-ts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Standard OIDC client for Cognito managed login with PKCE; lighter than AWS Amplify.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Statement PDFs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pdfjs-dist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Opens password-protected PDFs and extracts text in the browser (IMP-02, AD-16).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Statement parsers</w:t>
            </w:r>
          </w:p>
        </w:tc>
        <w:tc>
          <w:tcPr>
            <w:tcW w:type="dxa" w:w="1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Plain TypeScript modules in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packages/parsers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</w:t>
            </w:r>
          </w:p>
        </w:tc>
        <w:tc>
          <w:tcPr>
            <w:tcW w:type="dxa" w:w="4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One deterministic parser per statement format, starting with Maya Wallet (AD-18); unit-tested against sanitized fixtures.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Backend (Lambdas)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95"/>
        <w:gridCol w:w="2600"/>
        <w:gridCol w:w="4251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Concern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Choice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Why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Runtime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nodejs24.x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, arm64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 (arm64)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Node.js 24 is supported on Lambda until April 2028; arm64 (Graviton) is cheaper per millisecond than x86.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Functions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Post-confirmation, Pre-sign-up, Gmail connect, Reconcile, Import, Expenses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Matches the architecture diagram; Import is separate so only Reconcile can decrypt Gmail tokens (AD-19, SEC-03).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Router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Hono (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hono/aws-lambda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adapter)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The same app runs on Lambda and as a local Node server, so local development needs no SAM or emulator.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Validation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Zod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Shared schemas with the frontend; also validates Gemini output (REC-11).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Database access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Drizzle ORM: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aws-data-api/pg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driver in AWS,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node-postgres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locally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AD-17, MNT-04. Row-level security is set with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SET LOCAL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inside each Data API transaction (SEC-02).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AWS SDK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AWS SDK for JavaScript v3 (DynamoDB Document Client, KMS, SSM, RDS Data)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Bundled with each function rather than using the runtime's copy, so versions are pinned.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Lambda utilities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Powertools for AWS Lambda (TypeScript): Logger, Parameters, Idempotency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Logger supports field redaction (PRV-04); Parameters caches SSM secrets between invocations (SEC-09); Idempotency backs the one-time submission ID for manual entries (EXP-09).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Gmail client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@googleapis/gmail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+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google-auth-library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Official Google packages, smaller than the full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googleapis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bundle.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Email text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html-to-text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Converts HTML-only receipts to text while keeping table rows on their own lines.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Gemini client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@google/genai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(Google Gen AI SDK)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Official SDK; supports JSON-schema structured output.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Bundling</w:t>
            </w:r>
          </w:p>
        </w:tc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esbuild (one minified bundle per function)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  <w:tc>
          <w:tcPr>
            <w:tcW w:type="dxa" w:w="4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Small zip files and fast cold starts.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Data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5445"/>
        <w:gridCol w:w="2600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Store</w:t>
            </w:r>
          </w:p>
        </w:tc>
        <w:tc>
          <w:tcPr>
            <w:tcW w:type="dxa" w:w="5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Holds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Aurora PostgreSQL Serverless v2 (16.3+), min 0 ACU</w:t>
            </w:r>
          </w:p>
        </w:tc>
        <w:tc>
          <w:tcPr>
            <w:tcW w:type="dxa" w:w="5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Accounts, aliases, categories, transactions, transfers, statement uploads, FX rates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(AD-02)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DynamoDB</w:t>
            </w:r>
          </w:p>
        </w:tc>
        <w:tc>
          <w:tcPr>
            <w:tcW w:type="dxa" w:w="5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Users, settings, sender list, Gmail cursor and processed message IDs, encrypted tokens, OAuth state (TTL), pending items (TTL 7 d), raw Gemini output (TTL 60 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(AD-05)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Secrets Manager</w:t>
            </w:r>
          </w:p>
        </w:tc>
        <w:tc>
          <w:tcPr>
            <w:tcW w:type="dxa" w:w="5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Aurora master and app-user credentials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(AD-09)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SSM Parameter Store (SecureString)</w:t>
            </w:r>
          </w:p>
        </w:tc>
        <w:tc>
          <w:tcPr>
            <w:tcW w:type="dxa" w:w="5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Gemini API key, Google OAuth client secret, CloudFront origin secret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(AD-09, SEC-09)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KMS</w:t>
            </w:r>
          </w:p>
        </w:tc>
        <w:tc>
          <w:tcPr>
            <w:tcW w:type="dxa" w:w="5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One key per environment for Gmail refresh tokens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(AD-08)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Money is stored as </w:t>
      </w:r>
      <w:r>
        <w:rPr>
          <w:sz w:val="22"/>
          <w:szCs w:val="22"/>
          <w:rFonts w:ascii="Consolas" w:cs="Consolas" w:eastAsia="Consolas" w:hAnsi="Consolas"/>
        </w:rPr>
        <w:t xml:space="preserve">NUMERIC(14,2)</w:t>
      </w:r>
      <w:r>
        <w:rPr>
          <w:sz w:val="22"/>
          <w:szCs w:val="22"/>
          <w:rFonts w:ascii="Arial" w:cs="Arial" w:eastAsia="Arial" w:hAnsi="Arial"/>
        </w:rPr>
        <w:t xml:space="preserve"> with a currency code; monthly totals are calculated in the Asia/Manila time zone.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Infrastructure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03"/>
        <w:gridCol w:w="2443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Concern</w:t>
            </w:r>
          </w:p>
        </w:tc>
        <w:tc>
          <w:tcPr>
            <w:tcW w:type="dxa" w:w="6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Choice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Cloud</w:t>
            </w:r>
          </w:p>
        </w:tc>
        <w:tc>
          <w:tcPr>
            <w:tcW w:type="dxa" w:w="6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AWS, ap-southeast-1 (WAF web ACL in us-east-1)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(PRF-03, C-02)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Accounts</w:t>
            </w:r>
          </w:p>
        </w:tc>
        <w:tc>
          <w:tcPr>
            <w:tcW w:type="dxa" w:w="6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Separate AWS accounts for staging and prd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(AD-11)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IaC</w:t>
            </w:r>
          </w:p>
        </w:tc>
        <w:tc>
          <w:tcPr>
            <w:tcW w:type="dxa" w:w="6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Terraform 1.10 or later with the AWS provider; S3 remote state with native lock files, one state per environment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(MNT-02); S3 native locking Proposed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Edge</w:t>
            </w:r>
          </w:p>
        </w:tc>
        <w:tc>
          <w:tcPr>
            <w:tcW w:type="dxa" w:w="6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CloudFront (default domain) + S3 static hosting + WAF on prd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(AD-07)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Observability</w:t>
            </w:r>
          </w:p>
        </w:tc>
        <w:tc>
          <w:tcPr>
            <w:tcW w:type="dxa" w:w="6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CloudWatch Logs (30-day retention), AWS Budgets alert at $15</w:t>
            </w:r>
          </w:p>
        </w:tc>
        <w:tc>
          <w:tcPr>
            <w:tcW w:type="dxa" w:w="2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(MNT-06, CST-03)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8. Local development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6095"/>
        <w:gridCol w:w="2600"/>
      </w:tblGrid>
      <w:tr>
        <w:trPr>
          <w:tblHeader/>
        </w:trP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Concern</w:t>
            </w:r>
          </w:p>
        </w:tc>
        <w:tc>
          <w:tcPr>
            <w:tcW w:type="dxa" w:w="6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Choice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Node.js</w:t>
            </w:r>
          </w:p>
        </w:tc>
        <w:tc>
          <w:tcPr>
            <w:tcW w:type="dxa" w:w="6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24 LTS, managed with fnm (already installed)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</w:tr>
      <w:t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Package manager</w:t>
            </w:r>
          </w:p>
        </w:tc>
        <w:tc>
          <w:tcPr>
            <w:tcW w:type="dxa" w:w="6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pnpm workspaces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</w:tr>
      <w:t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Services</w:t>
            </w:r>
          </w:p>
        </w:tc>
        <w:tc>
          <w:tcPr>
            <w:tcW w:type="dxa" w:w="6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Docker Compose: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postgres:16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 and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amazon/dynamodb-local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(MNT-04)</w:t>
            </w:r>
          </w:p>
        </w:tc>
      </w:tr>
      <w:t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API</w:t>
            </w:r>
          </w:p>
        </w:tc>
        <w:tc>
          <w:tcPr>
            <w:tcW w:type="dxa" w:w="6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Hono app run with </w:t>
            </w:r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@hono/node-server</w:t>
            </w:r>
            <w:r>
              <w:rPr>
                <w:sz w:val="18"/>
                <w:szCs w:val="18"/>
                <w:rFonts w:ascii="Arial" w:cs="Arial" w:eastAsia="Arial" w:hAnsi="Arial"/>
              </w:rPr>
              <w:t xml:space="preserve">, calling local Postgres and DynamoDB Local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</w:tr>
      <w:tr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External APIs</w:t>
            </w:r>
          </w:p>
        </w:tc>
        <w:tc>
          <w:tcPr>
            <w:tcW w:type="dxa" w:w="6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Real Gmail (dummy account) and Gemini free tier; sanitized fixtures for automated tests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(PRV-01, PRV-02)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9. Quality and delivery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14"/>
        <w:gridCol w:w="2432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Concern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Choice</w:t>
            </w:r>
          </w:p>
        </w:tc>
        <w:tc>
          <w:tcPr>
            <w:tcW w:type="dxa" w:w="2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Unit tests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Vitest (parsers, redaction, matching, validation)</w:t>
            </w:r>
          </w:p>
        </w:tc>
        <w:tc>
          <w:tcPr>
            <w:tcW w:type="dxa" w:w="2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AWS mocks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Consolas" w:cs="Consolas" w:eastAsia="Consolas" w:hAnsi="Consolas"/>
              </w:rPr>
              <w:t xml:space="preserve">aws-sdk-client-mock</w:t>
            </w:r>
          </w:p>
        </w:tc>
        <w:tc>
          <w:tcPr>
            <w:tcW w:type="dxa" w:w="2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Integration tests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Run against staging for Data API behavior</w:t>
            </w:r>
          </w:p>
        </w:tc>
        <w:tc>
          <w:tcPr>
            <w:tcW w:type="dxa" w:w="2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Decided (MNT-05)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End-to-end tests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Playwright</w:t>
            </w:r>
          </w:p>
        </w:tc>
        <w:tc>
          <w:tcPr>
            <w:tcW w:type="dxa" w:w="2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 (Later)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Lint and format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ESLint + Prettier</w:t>
            </w:r>
          </w:p>
        </w:tc>
        <w:tc>
          <w:tcPr>
            <w:tcW w:type="dxa" w:w="2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CI/CD</w:t>
            </w:r>
          </w:p>
        </w:tc>
        <w:tc>
          <w:tcPr>
            <w:tcW w:type="dxa" w:w="6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GitHub Actions: test on every push; deploy to staging on merge; deploy to prd on a manual approval. AWS access through OIDC roles, no long-lived keys</w:t>
            </w:r>
          </w:p>
        </w:tc>
        <w:tc>
          <w:tcPr>
            <w:tcW w:type="dxa" w:w="2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Proposed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10. Repository layout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kuwenta/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├─ apps/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│  └─ web/                 React + Vite app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├─ services/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│  └─ api/                 Lambda handlers (Hono), one entry point per function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├─ packages/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│  ├─ shared/              Zod schemas, types, Drizzle schema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│  ├─ parsers/             Deterministic statement parsers (Maya first)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│  └─ redaction/           Account, card and mobile number redaction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├─ infra/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│  ├─ modules/             Terraform modules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│  └─ envs/                staging/ and prd/ (separate state)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├─ fixtures/               Sanitized receipts and statements for tests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├─ docs/                   Requirements, tech stack, external APIs; diagrams in docs/design/</w:t>
      </w:r>
    </w:p>
    <w:p>
      <w:pPr>
        <w:shd w:fill="F2F2F2" w:color="auto" w:val="clear"/>
        <w:spacing w:after="0"/>
      </w:pPr>
      <w:r>
        <w:rPr>
          <w:sz w:val="17"/>
          <w:szCs w:val="17"/>
          <w:rFonts w:ascii="Consolas" w:cs="Consolas" w:eastAsia="Consolas" w:hAnsi="Consolas"/>
        </w:rPr>
        <w:t xml:space="preserve">└─ docker-compose.yml      Postgres 16 + DynamoDB Local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  <w:rFonts w:ascii="Consolas" w:cs="Consolas" w:eastAsia="Consolas" w:hAnsi="Consolas"/>
        </w:rPr>
        <w:t xml:space="preserve">docs/sample-receipts/</w:t>
      </w:r>
      <w:r>
        <w:rPr>
          <w:sz w:val="22"/>
          <w:szCs w:val="22"/>
          <w:rFonts w:ascii="Arial" w:cs="Arial" w:eastAsia="Arial" w:hAnsi="Arial"/>
        </w:rPr>
        <w:t xml:space="preserve"> (real data) stays out of git; tests use </w:t>
      </w:r>
      <w:r>
        <w:rPr>
          <w:sz w:val="22"/>
          <w:szCs w:val="22"/>
          <w:rFonts w:ascii="Consolas" w:cs="Consolas" w:eastAsia="Consolas" w:hAnsi="Consolas"/>
        </w:rPr>
        <w:t xml:space="preserve">fixtures/</w:t>
      </w:r>
      <w:r>
        <w:rPr>
          <w:sz w:val="22"/>
          <w:szCs w:val="22"/>
          <w:rFonts w:ascii="Arial" w:cs="Arial" w:eastAsia="Arial" w:hAnsi="Arial"/>
        </w:rPr>
        <w:t xml:space="preserve"> only (R-11).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11. Open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8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Question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TS-01</w:t>
            </w:r>
          </w:p>
        </w:tc>
        <w:tc>
          <w:tcPr>
            <w:tcW w:type="dxa" w:w="8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Confirm the Proposed choices above, especially Hono, Tailwind CSS + shadcn/ui, pnpm and GitHub Actions.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TS-02</w:t>
            </w:r>
          </w:p>
        </w:tc>
        <w:tc>
          <w:tcPr>
            <w:tcW w:type="dxa" w:w="8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Where will the repository be hosted (GitHub assumed for CI/CD)?</w:t>
            </w:r>
          </w:p>
        </w:tc>
      </w:tr>
    </w:tbl>
    <w:p>
      <w:pPr>
        <w:spacing w:before="0" w:after="0" w:line="20"/>
      </w:pPr>
      <w:r>
        <w:rPr>
          <w:sz w:val="2"/>
          <w:szCs w:val="2"/>
        </w:rPr>
        <w:t xml:space="preserve"/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  <w:rFonts w:ascii="Arial" w:cs="Arial" w:eastAsia="Arial" w:hAnsi="Arial"/>
      </w:rPr>
      <w:t xml:space="preserve">Kuwenta – Tech Stack v1.1    Page </w:t>
    </w:r>
    <w:r>
      <w:rPr>
        <w:color w:val="808080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Kuwenta – Tech Stack</dc:title>
  <dc:creator>Kuwenta</dc:creator>
  <cp:lastModifiedBy>Un-named</cp:lastModifiedBy>
  <cp:revision>1</cp:revision>
  <dcterms:created xsi:type="dcterms:W3CDTF">2026-10-12T09:07:51.025Z</dcterms:created>
  <dcterms:modified xsi:type="dcterms:W3CDTF">2026-10-12T09:07:51.026Z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