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3864"/>
          <w:sz w:val="40"/>
          <w:szCs w:val="40"/>
          <w:rFonts w:ascii="Arial" w:cs="Arial" w:eastAsia="Arial" w:hAnsi="Arial"/>
        </w:rPr>
        <w:t xml:space="preserve">Kuwenta – External APIs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Project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Kuwenta – personal finance and expense tracker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Document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Third-party APIs: what is called, by which component, with what data, and how failures are handled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1.0 (Draft)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11 October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Draft – for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Related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kuwenta-requirements.md, kuwenta-tech-stack.md, kuwenta-sequence.drawio.svg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84"/>
        <w:gridCol w:w="1146"/>
        <w:gridCol w:w="1266"/>
        <w:gridCol w:w="1297"/>
        <w:gridCol w:w="2453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API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Used for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Called by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Cost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Google OAuth 2.0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Getting and refreshing read-only Gmail access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Gmail connect Lambda, Reconcile Lambda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OAuth client ID + secret, PKCE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Gmail API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Searching and reading receipt emails; sender discovery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Reconcile Lambda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User's OAuth access token (gmail.readonly)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 (quota-limited)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Gemini API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Extracting transactions from emails; suggesting categories; classifying sender candidates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Reconcile Lambda, Import Lambda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API key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 tier (local, staging); paid tier (prd)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FX rate API (Frankfurter)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Reference USD→PHP rate when a receipt has no PHP amount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Expenses Lambda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AWS services (Cognito, DynamoDB, Aurora Data API, KMS, SSM, Secrets Manager) are internal to the architecture and are not covered here.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Facts marked "verified" were checked against the provider's documentation on 11 October 2026. Re-check limits and prices before going live, since providers change them.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Rules for every external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Secrets from SSM only.</w:t>
      </w:r>
      <w:r>
        <w:rPr>
          <w:sz w:val="22"/>
          <w:szCs w:val="22"/>
          <w:rFonts w:ascii="Arial" w:cs="Arial" w:eastAsia="Arial" w:hAnsi="Arial"/>
        </w:rPr>
        <w:t xml:space="preserve"> Keys and client secrets are read from SSM Parameter Store at runtime and cached in memory (SEC-09); never in code, Terraform variables or plain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Timeouts.</w:t>
      </w:r>
      <w:r>
        <w:rPr>
          <w:sz w:val="22"/>
          <w:szCs w:val="22"/>
          <w:rFonts w:ascii="Arial" w:cs="Arial" w:eastAsia="Arial" w:hAnsi="Arial"/>
        </w:rPr>
        <w:t xml:space="preserve"> Every call has an explicit timeout, kept well under the API Gateway limit of ~30 s (REC-06).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Retries.</w:t>
      </w:r>
      <w:r>
        <w:rPr>
          <w:sz w:val="22"/>
          <w:szCs w:val="22"/>
          <w:rFonts w:ascii="Arial" w:cs="Arial" w:eastAsia="Arial" w:hAnsi="Arial"/>
        </w:rPr>
        <w:t xml:space="preserve"> Retry only on 429 and 5xx, with exponential backoff and jitter, at most 3 attempts; never retry 4xx errors other than 429.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No sensitive logging.</w:t>
      </w:r>
      <w:r>
        <w:rPr>
          <w:sz w:val="22"/>
          <w:szCs w:val="22"/>
          <w:rFonts w:ascii="Arial" w:cs="Arial" w:eastAsia="Arial" w:hAnsi="Arial"/>
        </w:rPr>
        <w:t xml:space="preserve"> Request and response bodies, tokens and email content are never logged (PRV-04); log only status codes, durations and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Minimum data.</w:t>
      </w:r>
      <w:r>
        <w:rPr>
          <w:sz w:val="22"/>
          <w:szCs w:val="22"/>
          <w:rFonts w:ascii="Arial" w:cs="Arial" w:eastAsia="Arial" w:hAnsi="Arial"/>
        </w:rPr>
        <w:t xml:space="preserve"> Send only what the call needs; email text is redacted before it reaches Gemini (REC-03).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5"/>
        <w:gridCol w:w="5141"/>
      </w:tblGrid>
      <w:tr>
        <w:trPr>
          <w:tblHeader/>
        </w:trPr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Parameter (per environment)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Holds</w:t>
            </w:r>
          </w:p>
        </w:tc>
      </w:tr>
      <w:tr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/kuwenta/&lt;env&gt;/google/oauth-client-id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Google OAuth client ID (String)</w:t>
            </w:r>
          </w:p>
        </w:tc>
      </w:tr>
      <w:tr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/kuwenta/&lt;env&gt;/google/oauth-client-secret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Google OAuth client secret (SecureString)</w:t>
            </w:r>
          </w:p>
        </w:tc>
      </w:tr>
      <w:tr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/kuwenta/&lt;env&gt;/gemini/api-key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Gemini API key (SecureString)</w:t>
            </w:r>
          </w:p>
        </w:tc>
      </w:tr>
      <w:tr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/kuwenta/&lt;env&gt;/gemini/model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Model ID, default gemini-3.5-flash-lite (String)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Google OAuth 2.0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Purpose.</w:t>
      </w:r>
      <w:r>
        <w:rPr>
          <w:sz w:val="22"/>
          <w:szCs w:val="22"/>
          <w:rFonts w:ascii="Arial" w:cs="Arial" w:eastAsia="Arial" w:hAnsi="Arial"/>
        </w:rPr>
        <w:t xml:space="preserve"> Let the user grant Kuwenta read-only access to Gmail, and keep that access working with a refresh token (GML-01, GML-02).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Scope.</w:t>
      </w:r>
      <w:r>
        <w:rPr>
          <w:sz w:val="22"/>
          <w:szCs w:val="22"/>
          <w:rFonts w:ascii="Arial" w:cs="Arial" w:eastAsia="Arial" w:hAnsi="Arial"/>
        </w:rPr>
        <w:t xml:space="preserve"> </w:t>
      </w:r>
      <w:r>
        <w:rPr>
          <w:sz w:val="22"/>
          <w:szCs w:val="22"/>
          <w:rFonts w:ascii="Consolas" w:cs="Consolas" w:eastAsia="Consolas" w:hAnsi="Consolas"/>
        </w:rPr>
        <w:t xml:space="preserve">https://www.googleapis.com/auth/gmail.readonly</w:t>
      </w:r>
      <w:r>
        <w:rPr>
          <w:sz w:val="22"/>
          <w:szCs w:val="22"/>
          <w:rFonts w:ascii="Arial" w:cs="Arial" w:eastAsia="Arial" w:hAnsi="Arial"/>
        </w:rPr>
        <w:t xml:space="preserve"> (read-only; restricted scope, see Constraints).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7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Consent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GET https://accounts.google.com/o/oauth2/v2/auth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The gmail.readonly scope,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access_type=offline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,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prompt=consent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,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state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(single use, ~10 min TTL in DynamoDB),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code_challenge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+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code_challenge_method=S256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(PKCE).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Code exchange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POST https://oauth2.googleapis.com/token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grant_type=authorization_code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with the code and PKCE verifier; returns an access token (short-lived) and a refresh token.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Refresh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POST https://oauth2.googleapis.com/token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grant_type=refresh_token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; done at the start of each reconcile.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Revoke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POST https://oauth2.googleapis.com/revoke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On disconnect (GML-05) and account deletion (PRV-05).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Data stored.</w:t>
      </w:r>
      <w:r>
        <w:rPr>
          <w:sz w:val="22"/>
          <w:szCs w:val="22"/>
          <w:rFonts w:ascii="Arial" w:cs="Arial" w:eastAsia="Arial" w:hAnsi="Arial"/>
        </w:rPr>
        <w:t xml:space="preserve"> Only the refresh token, encrypted with KMS using the user's Cognito ID as encryption context (GML-02). Access tokens are kept in memory for the duration of one request and never stored.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3"/>
        <w:gridCol w:w="5023"/>
      </w:tblGrid>
      <w:tr>
        <w:trPr>
          <w:tblHeader/>
        </w:trPr>
        <w:tc>
          <w:tcPr>
            <w:tcW w:type="dxa" w:w="4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Failure</w:t>
            </w:r>
          </w:p>
        </w:tc>
        <w:tc>
          <w:tcPr>
            <w:tcW w:type="dxa" w:w="5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Handling</w:t>
            </w:r>
          </w:p>
        </w:tc>
      </w:tr>
      <w:tr>
        <w:tc>
          <w:tcPr>
            <w:tcW w:type="dxa" w:w="4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invalid_grant</w:t>
            </w: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 on refresh (revoked, expired, password changed)</w:t>
            </w:r>
          </w:p>
        </w:tc>
        <w:tc>
          <w:tcPr>
            <w:tcW w:type="dxa" w:w="5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Mark the connection as broken and show a reconnect prompt (GML-04).</w:t>
            </w:r>
          </w:p>
        </w:tc>
      </w:tr>
      <w:tr>
        <w:tc>
          <w:tcPr>
            <w:tcW w:type="dxa" w:w="4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Missing, expired or reused </w:t>
            </w:r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state</w:t>
            </w:r>
          </w:p>
        </w:tc>
        <w:tc>
          <w:tcPr>
            <w:tcW w:type="dxa" w:w="5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Reject the callback (GML-01).</w:t>
            </w:r>
          </w:p>
        </w:tc>
      </w:tr>
      <w:tr>
        <w:tc>
          <w:tcPr>
            <w:tcW w:type="dxa" w:w="4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User denies consent</w:t>
            </w:r>
          </w:p>
        </w:tc>
        <w:tc>
          <w:tcPr>
            <w:tcW w:type="dxa" w:w="5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Return to the app with a clear message; nothing is stored.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Constraints.</w:t>
      </w:r>
      <w:r>
        <w:rPr>
          <w:sz w:val="22"/>
          <w:szCs w:val="22"/>
          <w:rFonts w:ascii="Arial" w:cs="Arial" w:eastAsia="Arial" w:hAnsi="Arial"/>
        </w:rPr>
        <w:t xml:space="preserve"> gmail.readonly is a restricted scope: an unverified app shows a warning and is capped at 100 users (C-04). Refresh tokens from a Testing-status app expire after 7 days, so prd must be published to In production (C-05). Setup steps are in Appendix C of the requirements.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Gmail API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Purpose.</w:t>
      </w:r>
      <w:r>
        <w:rPr>
          <w:sz w:val="22"/>
          <w:szCs w:val="22"/>
          <w:rFonts w:ascii="Arial" w:cs="Arial" w:eastAsia="Arial" w:hAnsi="Arial"/>
        </w:rPr>
        <w:t xml:space="preserve"> Find and read receipt emails from the user's sender list (REC-02, REC-10, REC-12), and scan sender and subject metadata for sender suggestions (GML-07, GML-08).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Base URL.</w:t>
      </w:r>
      <w:r>
        <w:rPr>
          <w:sz w:val="22"/>
          <w:szCs w:val="22"/>
          <w:rFonts w:ascii="Arial" w:cs="Arial" w:eastAsia="Arial" w:hAnsi="Arial"/>
        </w:rPr>
        <w:t xml:space="preserve"> </w:t>
      </w:r>
      <w:r>
        <w:rPr>
          <w:sz w:val="22"/>
          <w:szCs w:val="22"/>
          <w:rFonts w:ascii="Consolas" w:cs="Consolas" w:eastAsia="Consolas" w:hAnsi="Consolas"/>
        </w:rPr>
        <w:t xml:space="preserve">https://gmail.googleapis.com/gmail/v1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2521"/>
        <w:gridCol w:w="4218"/>
        <w:gridCol w:w="1067"/>
      </w:tblGrid>
      <w:tr>
        <w:trPr>
          <w:tblHeader/>
        </w:trPr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Used for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Quota units (verified)</w:t>
            </w:r>
          </w:p>
        </w:tc>
      </w:tr>
      <w:tr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users.messages.list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GET /users/me/messages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Search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q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(sender list +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after: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timestamp), paged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pageToken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5 per call</w:t>
            </w:r>
          </w:p>
        </w:tc>
      </w:tr>
      <w:tr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users.messages.get</w:t>
            </w: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 (</w:t>
            </w:r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format=full</w:t>
            </w: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GET /users/me/messages/{id}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format=full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Read one receipt: headers, text and HTML parts, attachment metadata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20 per call</w:t>
            </w:r>
          </w:p>
        </w:tc>
      </w:tr>
      <w:tr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users.messages.get</w:t>
            </w: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 (</w:t>
            </w:r>
            <w:r>
              <w:rPr>
                <w:b/>
                <w:bCs/>
                <w:sz w:val="18"/>
                <w:szCs w:val="18"/>
                <w:rFonts w:ascii="Consolas" w:cs="Consolas" w:eastAsia="Consolas" w:hAnsi="Consolas"/>
              </w:rPr>
              <w:t xml:space="preserve">format=metadata</w:t>
            </w: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GET /users/me/messages/{id}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format=metadata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Sender discovery: only the From and Subject headers (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metadataHeaders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), never the body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20 per call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Rate limits (verified).</w:t>
      </w:r>
      <w:r>
        <w:rPr>
          <w:sz w:val="22"/>
          <w:szCs w:val="22"/>
          <w:rFonts w:ascii="Arial" w:cs="Arial" w:eastAsia="Arial" w:hAnsi="Arial"/>
        </w:rPr>
        <w:t xml:space="preserve"> 6,000 quota units per minute per user, 1,200,000 per minute per project. At 20 units per message read, one user can read about 300 messages per minute. A reconcile page of ~20 emails uses about 400 units, so normal use is far below the limit.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Search query.</w:t>
      </w:r>
      <w:r>
        <w:rPr>
          <w:sz w:val="22"/>
          <w:szCs w:val="22"/>
          <w:rFonts w:ascii="Arial" w:cs="Arial" w:eastAsia="Arial" w:hAnsi="Arial"/>
        </w:rPr>
        <w:t xml:space="preserve"> Built from the sender list (GML-03), for example: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(from:noreply-banktransfer@gcash.com OR from:ebanking@metrobank.com.ph OR (from:no_reply@email.apple.com subject:receipt)) after:1759708800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  <w:rFonts w:ascii="Consolas" w:cs="Consolas" w:eastAsia="Consolas" w:hAnsi="Consolas"/>
        </w:rPr>
        <w:t xml:space="preserve">after:</w:t>
      </w:r>
      <w:r>
        <w:rPr>
          <w:sz w:val="22"/>
          <w:szCs w:val="22"/>
          <w:rFonts w:ascii="Arial" w:cs="Arial" w:eastAsia="Arial" w:hAnsi="Arial"/>
        </w:rPr>
        <w:t xml:space="preserve"> uses a Unix timestamp (exact, no time-zone ambiguity) set to the cursor minus a 2-day overlap (REC-02). Long sender lists are split into several queries.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Sender discovery cost.</w:t>
      </w:r>
      <w:r>
        <w:rPr>
          <w:sz w:val="22"/>
          <w:szCs w:val="22"/>
          <w:rFonts w:ascii="Arial" w:cs="Arial" w:eastAsia="Arial" w:hAnsi="Arial"/>
        </w:rPr>
        <w:t xml:space="preserve"> Reading metadata for every email in a large inbox would be slow at 20 units per message (5,000 emails ≈ 17 minutes of quota). The scan therefore narrows candidates first with a Gmail query such as </w:t>
      </w:r>
      <w:r>
        <w:rPr>
          <w:sz w:val="22"/>
          <w:szCs w:val="22"/>
          <w:rFonts w:ascii="Consolas" w:cs="Consolas" w:eastAsia="Consolas" w:hAnsi="Consolas"/>
        </w:rPr>
        <w:t xml:space="preserve">subject:(receipt OR invoice OR payment OR transaction OR transfer OR statement) after:&lt;start&gt;</w:t>
      </w:r>
      <w:r>
        <w:rPr>
          <w:sz w:val="22"/>
          <w:szCs w:val="22"/>
          <w:rFonts w:ascii="Arial" w:cs="Arial" w:eastAsia="Arial" w:hAnsi="Arial"/>
        </w:rPr>
        <w:t xml:space="preserve">, and reads metadata only for those.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Reading a message.</w:t>
      </w:r>
      <w:r>
        <w:rPr>
          <w:sz w:val="22"/>
          <w:szCs w:val="22"/>
          <w:rFonts w:ascii="Arial" w:cs="Arial" w:eastAsia="Arial" w:hAnsi="Arial"/>
        </w:rPr>
        <w:t xml:space="preserve"> Prefer the </w:t>
      </w:r>
      <w:r>
        <w:rPr>
          <w:sz w:val="22"/>
          <w:szCs w:val="22"/>
          <w:rFonts w:ascii="Consolas" w:cs="Consolas" w:eastAsia="Consolas" w:hAnsi="Consolas"/>
        </w:rPr>
        <w:t xml:space="preserve">text/plain</w:t>
      </w:r>
      <w:r>
        <w:rPr>
          <w:sz w:val="22"/>
          <w:szCs w:val="22"/>
          <w:rFonts w:ascii="Arial" w:cs="Arial" w:eastAsia="Arial" w:hAnsi="Arial"/>
        </w:rPr>
        <w:t xml:space="preserve"> part; otherwise convert </w:t>
      </w:r>
      <w:r>
        <w:rPr>
          <w:sz w:val="22"/>
          <w:szCs w:val="22"/>
          <w:rFonts w:ascii="Consolas" w:cs="Consolas" w:eastAsia="Consolas" w:hAnsi="Consolas"/>
        </w:rPr>
        <w:t xml:space="preserve">text/html</w:t>
      </w:r>
      <w:r>
        <w:rPr>
          <w:sz w:val="22"/>
          <w:szCs w:val="22"/>
          <w:rFonts w:ascii="Arial" w:cs="Arial" w:eastAsia="Arial" w:hAnsi="Arial"/>
        </w:rPr>
        <w:t xml:space="preserve"> to text. Bodies are base64url-encoded. PDF attachments are noted but not read in the MVP (REC-08; REC-13 later).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7935"/>
      </w:tblGrid>
      <w:tr>
        <w:trPr>
          <w:tblHeader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Failure</w:t>
            </w:r>
          </w:p>
        </w:tc>
        <w:tc>
          <w:tcPr>
            <w:tcW w:type="dxa" w:w="7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Handling</w:t>
            </w:r>
          </w:p>
        </w:tc>
      </w:tr>
      <w:t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7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Refresh the access token once and retry; if refresh fails, see OAuth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invalid_grant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.</w:t>
            </w:r>
          </w:p>
        </w:tc>
      </w:tr>
      <w:t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429 or 403 rate limit</w:t>
            </w:r>
          </w:p>
        </w:tc>
        <w:tc>
          <w:tcPr>
            <w:tcW w:type="dxa" w:w="7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Back off and stop the page early; the app requests the next page (REC-06). Progress is kept.</w:t>
            </w:r>
          </w:p>
        </w:tc>
      </w:tr>
      <w:t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404 on a message</w:t>
            </w:r>
          </w:p>
        </w:tc>
        <w:tc>
          <w:tcPr>
            <w:tcW w:type="dxa" w:w="7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The email was deleted; mark the ID as processed and skip it.</w:t>
            </w:r>
          </w:p>
        </w:tc>
      </w:tr>
      <w:t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5xx</w:t>
            </w:r>
          </w:p>
        </w:tc>
        <w:tc>
          <w:tcPr>
            <w:tcW w:type="dxa" w:w="7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Retry with backoff; if it still fails, end the page and let the user retry.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Gemini API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Purpose.</w:t>
      </w:r>
      <w:r>
        <w:rPr>
          <w:sz w:val="22"/>
          <w:szCs w:val="22"/>
          <w:rFonts w:ascii="Arial" w:cs="Arial" w:eastAsia="Arial" w:hAnsi="Arial"/>
        </w:rPr>
        <w:t xml:space="preserve"> Turn redacted receipt text into structured transactions (REC-04), suggest categories from merchant names (IMP-04), and classify sender candidates (GML-07).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8417"/>
      </w:tblGrid>
      <w:tr>
        <w:trPr>
          <w:tblHeader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Item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Model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gemini-3.5-flash-lite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in all environments, configurable per environment (AD-10)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Tier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 in local and staging (fake or sanitized data only); paid in prd (PRV-01)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POST /v1beta/models/{model}:generateContent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on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generativelanguage.googleapis.com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, called through the official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@google/genai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SDK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API key in the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x-goog-api-key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header (set by the SDK)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Output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JSON constrained by a JSON schema (structured output)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Thinking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Lowest level, "minimal", which is the default for gemini-3.5-flash-lite (verified); thinking tokens are billed as output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Price (prd, verified)</w:t>
            </w:r>
          </w:p>
        </w:tc>
        <w:tc>
          <w:tcPr>
            <w:tcW w:type="dxa" w:w="8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$0.30 per 1M input tokens, $2.50 per 1M output tokens; about $0.40 per month at expected volume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Google also offers a newer Interactions API with the same JSON-schema output. Kuwenta uses whatever the official SDK recommends at build time; the request content and schema below stay the same.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 is sent.</w:t>
      </w:r>
      <w:r>
        <w:rPr>
          <w:sz w:val="22"/>
          <w:szCs w:val="22"/>
          <w:rFonts w:ascii="Arial" w:cs="Arial" w:eastAsia="Arial" w:hAnsi="Arial"/>
        </w:rPr>
        <w:t xml:space="preserve"> One request per email: a fixed instruction, the JSON schema, and the email's redacted text (account, card and mobile numbers cut to the last 4 digits, REC-03). Never attachments, Gmail tokens, user IDs or other emails. For statements and sender discovery, only merchant descriptors or sender and subject lines are sent.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Extraction schema (per transaction, REC-04).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1551"/>
        <w:gridCol w:w="5537"/>
      </w:tblGrid>
      <w:tr>
        <w:trPr>
          <w:tblHeader/>
        </w:trP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amount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Amount in the original currency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currency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ISO 4217 code, e.g. PHP, USD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php_amount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number or null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PHP actually charged, if shown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fee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number or null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Separate from amount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merchant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Merchant or counterparty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occurred_at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Date and time from the receipt, not the email date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source_account_hint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 or null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Name, alias or last 4 digits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destination_account_hint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 or null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For transfers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direction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enum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debit, credit, transfer, refund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external_ref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 or null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Transaction ID, InstaPay reference, invoice number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category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Suggested category</w:t>
            </w:r>
          </w:p>
        </w:tc>
      </w:tr>
      <w:tr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confidence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5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0 to 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Validation in code (REC-11).</w:t>
      </w:r>
      <w:r>
        <w:rPr>
          <w:sz w:val="22"/>
          <w:szCs w:val="22"/>
          <w:rFonts w:ascii="Arial" w:cs="Arial" w:eastAsia="Arial" w:hAnsi="Arial"/>
        </w:rPr>
        <w:t xml:space="preserve"> The amount must appear in the email text, the date must be within a set window of the email date, and the currency must be a valid ISO code. Items that fail stay pending and are marked for attention.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Failure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429 (rate limit; free-tier limits are lower)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Back off and retry; if still limited, end the page early (REC-06).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5xx or timeout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Retry with backoff; then leave the email unprocessed so the next reconcile picks it up.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Output fails the schema or validation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Keep as pending, marked for attention; raw output kept 60 days for prompt tuning (PRV-06).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Safety block or empty response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Flag the email for manual entry (REC-08).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FX rate API (optional)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Purpose.</w:t>
      </w:r>
      <w:r>
        <w:rPr>
          <w:sz w:val="22"/>
          <w:szCs w:val="22"/>
          <w:rFonts w:ascii="Arial" w:cs="Arial" w:eastAsia="Arial" w:hAnsi="Arial"/>
        </w:rPr>
        <w:t xml:space="preserve"> Provide a reference USD→PHP rate when a foreign-currency receipt does not show the PHP amount charged (EXP-07). Maya statements already include the rate, so this is a fallback.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8263"/>
      </w:tblGrid>
      <w:tr>
        <w:trPr>
          <w:tblHeader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Item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Provider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Frankfurter (open source, no API key; verified)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Request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GET https://api.frankfurter.dev/v2/rates?date=YYYY-MM-DD&amp;base=USD&amp;quotes=PHP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Source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By default a blend of central-bank sources; pin a single provider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providers=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for consistent history (verified)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Limits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Rate-limited against abuse, no daily or monthly cap (verified)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Caching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Each date's rate is stored in the Aurora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fx_rates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table and fetched at most once</w:t>
            </w:r>
          </w:p>
        </w:tc>
      </w:tr>
      <w:t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Weekends and holidays</w:t>
            </w:r>
          </w:p>
        </w:tc>
        <w:tc>
          <w:tcPr>
            <w:tcW w:type="dxa" w:w="8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Use the most recent earlier rate (EXP-07); the API's own weekend behavior is not documented, so Kuwenta handles it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8026"/>
      </w:tblGrid>
      <w:tr>
        <w:trPr>
          <w:tblHeader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Failure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Handling</w:t>
            </w:r>
          </w:p>
        </w:tc>
      </w:tr>
      <w:t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 unavailable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Leave the PHP amount empty and ask the user to enter it during review.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Open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Question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API-01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Which FX provider to pin: Bangko Sentral ng Pilipinas (if Frankfurter offers it) or ECB?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API-02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Free-tier Gemini rate limits for local and staging: confirm in Google AI Studio before load-testing the backfill.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API-03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Move to the Gemini Interactions API now or stay on generateContent until the SDK makes it the default?</w:t>
            </w:r>
          </w:p>
        </w:tc>
      </w:tr>
    </w:tbl>
    <w:p>
      <w:pPr>
        <w:spacing w:before="0" w:after="0" w:line="20"/>
      </w:pPr>
      <w:r>
        <w:rPr>
          <w:sz w:val="2"/>
          <w:szCs w:val="2"/>
        </w:rPr>
        <w:t xml:space="preserve"/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  <w:rFonts w:ascii="Arial" w:cs="Arial" w:eastAsia="Arial" w:hAnsi="Arial"/>
      </w:rPr>
      <w:t xml:space="preserve">Kuwenta – External APIs v1.0    Page </w:t>
    </w:r>
    <w:r>
      <w:rPr>
        <w:color w:val="808080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Kuwenta – External APIs</dc:title>
  <dc:creator>Kuwenta</dc:creator>
  <cp:lastModifiedBy>Un-named</cp:lastModifiedBy>
  <cp:revision>1</cp:revision>
  <dcterms:created xsi:type="dcterms:W3CDTF">2026-10-11T10:58:48.465Z</dcterms:created>
  <dcterms:modified xsi:type="dcterms:W3CDTF">2026-10-11T10:58:48.466Z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