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2E74B5"/>
          <w:sz w:val="20"/>
        </w:rPr>
        <w:t>DEEP RESEARCH</w:t>
      </w:r>
    </w:p>
    <w:p>
      <w:pPr>
        <w:spacing w:after="200"/>
        <w:jc w:val="center"/>
      </w:pPr>
      <w:r>
        <w:rPr>
          <w:rFonts w:ascii="Calibri" w:hAnsi="Calibri"/>
          <w:b/>
          <w:color w:val="1C232E"/>
          <w:sz w:val="62"/>
        </w:rPr>
        <w:t>Last Aeon</w:t>
      </w:r>
    </w:p>
    <w:p>
      <w:pPr>
        <w:spacing w:after="440"/>
        <w:jc w:val="center"/>
      </w:pPr>
      <w:r>
        <w:rPr>
          <w:rFonts w:ascii="Calibri" w:hAnsi="Calibri"/>
          <w:color w:val="1F4D78"/>
          <w:sz w:val="34"/>
        </w:rPr>
        <w:t>Grand-Strategy UX Polish and Onboarding</w:t>
      </w:r>
    </w:p>
    <w:p>
      <w:pPr>
        <w:spacing w:after="1080"/>
        <w:jc w:val="center"/>
      </w:pPr>
      <w:r>
        <w:rPr>
          <w:rFonts w:ascii="Calibri" w:hAnsi="Calibri"/>
          <w:i/>
          <w:color w:val="5C6573"/>
          <w:sz w:val="23"/>
        </w:rPr>
        <w:t>A decision-ready programme for readability, learnability and first-play usability</w:t>
      </w:r>
    </w:p>
    <w:p>
      <w:pPr>
        <w:spacing w:before="140" w:after="180"/>
        <w:ind w:left="259" w:right="259"/>
        <w:shd w:fill="E8EEF5"/>
        <w:pBdr>
          <w:left w:val="single" w:sz="20" w:space="8" w:color="1F4D78"/>
        </w:pBdr>
      </w:pPr>
      <w:r>
        <w:rPr>
          <w:rFonts w:ascii="Calibri" w:hAnsi="Calibri"/>
          <w:b/>
          <w:color w:val="1F4D78"/>
          <w:sz w:val="19"/>
        </w:rPr>
        <w:t xml:space="preserve">DIRECT ANSWER  </w:t>
      </w:r>
      <w:r>
        <w:rPr>
          <w:rFonts w:ascii="Calibri" w:hAnsi="Calibri"/>
          <w:color w:val="1C232E"/>
          <w:sz w:val="21"/>
        </w:rPr>
        <w:t>Build the readability foundation first, then orchestrate the real Ashkarr campaign into a short, optional First Reign guide. Do not build a separate tutorial simulation.</w:t>
      </w:r>
    </w:p>
    <w:p>
      <w:pPr>
        <w:spacing w:before="680"/>
        <w:jc w:val="center"/>
      </w:pPr>
      <w:r>
        <w:rPr>
          <w:rFonts w:ascii="Calibri" w:hAnsi="Calibri"/>
          <w:color w:val="5C6573"/>
          <w:sz w:val="20"/>
        </w:rPr>
        <w:t>Prepared for the Last Aeon game designer and implementation team</w:t>
      </w:r>
    </w:p>
    <w:p>
      <w:pPr>
        <w:jc w:val="center"/>
      </w:pPr>
      <w:r>
        <w:rPr>
          <w:rFonts w:ascii="Calibri" w:hAnsi="Calibri"/>
          <w:b/>
          <w:color w:val="1F4D78"/>
          <w:sz w:val="20"/>
        </w:rPr>
        <w:t>31 August 2026</w:t>
      </w:r>
    </w:p>
    <w:p>
      <w:r>
        <w:br w:type="page"/>
      </w:r>
    </w:p>
    <w:p>
      <w:pPr>
        <w:pStyle w:val="Heading1"/>
        <w:keepNext/>
      </w:pPr>
      <w:r>
        <w:t>Executive answer</w:t>
      </w:r>
    </w:p>
    <w:p>
      <w:r>
        <w:rPr>
          <w:rFonts w:ascii="Calibri" w:hAnsi="Calibri"/>
        </w:rPr>
        <w:t>Last Aeon should not begin with a separate tutorial scenario. Its strongest UX assets already live in the real campaign: persistent Situations, authoritative refusal reasons, shared forecasts, inspectable subjects, map readouts and a durable log. The right next move is to make those assets easier to perceive and then orchestrate them into an optional live-campaign guide.</w:t>
      </w:r>
    </w:p>
    <w:p>
      <w:pPr>
        <w:spacing w:before="140" w:after="180"/>
        <w:ind w:left="259" w:right="259"/>
        <w:shd w:fill="E8EEF5"/>
        <w:pBdr>
          <w:left w:val="single" w:sz="20" w:space="8" w:color="1F4D78"/>
        </w:pBdr>
      </w:pPr>
      <w:r>
        <w:rPr>
          <w:rFonts w:ascii="Calibri" w:hAnsi="Calibri"/>
          <w:b/>
          <w:color w:val="1F4D78"/>
          <w:sz w:val="19"/>
        </w:rPr>
        <w:t xml:space="preserve">RECOMMENDED SEQUENCE  </w:t>
      </w:r>
      <w:r>
        <w:rPr>
          <w:rFonts w:ascii="Calibri" w:hAnsi="Calibri"/>
          <w:color w:val="1C232E"/>
          <w:sz w:val="21"/>
        </w:rPr>
        <w:t>Readability baseline -&gt; First Reign live guidance -&gt; concept help -&gt; attention policy -&gt; observed usability validation.</w:t>
      </w:r>
    </w:p>
    <w:p>
      <w:pPr>
        <w:pStyle w:val="ListNumber"/>
      </w:pPr>
      <w:r>
        <w:rPr>
          <w:rFonts w:ascii="Calibri" w:hAnsi="Calibri"/>
        </w:rPr>
        <w:t>Establish UI/text scaling, responsive docks and top bar, minimum hit targets, keyboard focus and tooltip alternatives.</w:t>
      </w:r>
    </w:p>
    <w:p>
      <w:pPr>
        <w:pStyle w:val="ListNumber"/>
      </w:pPr>
      <w:r>
        <w:rPr>
          <w:rFonts w:ascii="Calibri" w:hAnsi="Calibri"/>
        </w:rPr>
        <w:t>Add a short, dismissible First Reign objective chain inside the normal Ashkarr campaign.</w:t>
      </w:r>
    </w:p>
    <w:p>
      <w:pPr>
        <w:pStyle w:val="ListNumber"/>
      </w:pPr>
      <w:r>
        <w:rPr>
          <w:rFonts w:ascii="Calibri" w:hAnsi="Calibri"/>
        </w:rPr>
        <w:t>Create an explanation ladder: visible summary, pinable/focusable concept help, then searchable reference.</w:t>
      </w:r>
    </w:p>
    <w:p>
      <w:pPr>
        <w:pStyle w:val="ListNumber"/>
      </w:pPr>
      <w:r>
        <w:rPr>
          <w:rFonts w:ascii="Calibri" w:hAnsi="Calibri"/>
        </w:rPr>
        <w:t>Formalise the jobs of Situations, the attention strip, popups, log and any future toasts.</w:t>
      </w:r>
    </w:p>
    <w:p>
      <w:pPr>
        <w:pStyle w:val="ListNumber"/>
      </w:pPr>
      <w:r>
        <w:rPr>
          <w:rFonts w:ascii="Calibri" w:hAnsi="Calibri"/>
        </w:rPr>
        <w:t>Test the opening with novices and experienced grand-strategy players before decorative polish.</w:t>
      </w:r>
    </w:p>
    <w:p>
      <w:r>
        <w:rPr>
          <w:rFonts w:ascii="Calibri" w:hAnsi="Calibri"/>
        </w:rPr>
        <w:t>This direction is supported by both the codebase and external evidence. A 45,000-player CHI study found that tutorials mattered most for the most complex, least conventional game, where just-in-time and on-demand help improved engagement and progress. Paradox's Victoria 3 uses normal-campaign challenges with optional How and Why guidance rather than one long forced track (</w:t>
      </w:r>
      <w:hyperlink r:id="rId11">
        <w:r>
          <w:rPr>
            <w:rFonts w:ascii="Calibri" w:hAnsi="Calibri"/>
            <w:color w:val="2E74B5"/>
            <w:u w:val="single"/>
          </w:rPr>
          <w:t>Andersen et al., CHI 2012</w:t>
        </w:r>
      </w:hyperlink>
      <w:r>
        <w:t xml:space="preserve">; </w:t>
      </w:r>
      <w:hyperlink r:id="rId12">
        <w:r>
          <w:rPr>
            <w:rFonts w:ascii="Calibri" w:hAnsi="Calibri"/>
            <w:color w:val="2E74B5"/>
            <w:u w:val="single"/>
          </w:rPr>
          <w:t>Victoria 3 Dev Diary #51</w:t>
        </w:r>
      </w:hyperlink>
      <w:r>
        <w:t>).</w:t>
      </w:r>
    </w:p>
    <w:p>
      <w:pPr>
        <w:pStyle w:val="Heading1"/>
        <w:keepNext/>
      </w:pPr>
      <w:r>
        <w:t>What the current client already gets right</w:t>
      </w:r>
    </w:p>
    <w:p>
      <w:pPr>
        <w:pStyle w:val="Heading2"/>
        <w:keepNext/>
      </w:pPr>
      <w:r>
        <w:t>Authoritative explanation</w:t>
      </w:r>
    </w:p>
    <w:p>
      <w:r>
        <w:rPr>
          <w:rFonts w:ascii="Calibri" w:hAnsi="Calibri"/>
        </w:rPr>
        <w:t>The client does not invent odds, eligibility, political state or outcomes. It renders shared simulation forecasts and validation reasons. That prevents tutorial copy from teaching a simplified rule that later proves false.</w:t>
      </w:r>
    </w:p>
    <w:p>
      <w:pPr>
        <w:pStyle w:val="ListBullet"/>
      </w:pPr>
      <w:r>
        <w:rPr>
          <w:rFonts w:ascii="Calibri" w:hAnsi="Calibri"/>
        </w:rPr>
        <w:t>The action flow already teaches a stable grammar: aim, target, leader, cost, delay, duration, outcomes and risk.</w:t>
      </w:r>
    </w:p>
    <w:p>
      <w:pPr>
        <w:pStyle w:val="ListBullet"/>
      </w:pPr>
      <w:r>
        <w:rPr>
          <w:rFonts w:ascii="Calibri" w:hAnsi="Calibri"/>
        </w:rPr>
        <w:t>Unavailable actions remain visible with reasons; blockers are learnable instead of mysterious.</w:t>
      </w:r>
    </w:p>
    <w:p>
      <w:pPr>
        <w:pStyle w:val="ListBullet"/>
      </w:pPr>
      <w:r>
        <w:rPr>
          <w:rFonts w:ascii="Calibri" w:hAnsi="Calibri"/>
        </w:rPr>
        <w:t>Accepted commands and consequences already enter a durable, inspectable record.</w:t>
      </w:r>
    </w:p>
    <w:p>
      <w:pPr>
        <w:spacing w:after="120"/>
      </w:pPr>
      <w:r>
        <w:rPr>
          <w:b/>
        </w:rPr>
        <w:t xml:space="preserve">Local evidence: </w:t>
      </w:r>
      <w:r>
        <w:t>GDD 01 and GDD 07, plus actions.rs, forecast.rs and picker.rs</w:t>
      </w:r>
    </w:p>
    <w:p>
      <w:pPr>
        <w:pStyle w:val="Heading2"/>
        <w:keepNext/>
      </w:pPr>
      <w:r>
        <w:t>A sound information hierarchy</w:t>
      </w:r>
    </w:p>
    <w:p>
      <w:r>
        <w:rPr>
          <w:rFonts w:ascii="Calibri" w:hAnsi="Calibri"/>
        </w:rPr>
        <w:t>Identity, date, resources and time are persistent. Situations and the attention strip cover pressure. The inspector covers the selected object. Forecasts support decisions. Assignments and the log show work and consequences. The default Inspector / Situations / log-and-assignments layout reflects the core loop and should be refined rather than replaced.</w:t>
      </w:r>
    </w:p>
    <w:p>
      <w:pPr>
        <w:pStyle w:val="Heading2"/>
        <w:keepNext/>
      </w:pPr>
      <w:r>
        <w:t>Data-driven presentation</w:t>
      </w:r>
    </w:p>
    <w:p>
      <w:r>
        <w:rPr>
          <w:rFonts w:ascii="Calibri" w:hAnsi="Calibri"/>
        </w:rPr>
        <w:t>The theme centralises type, spacing, controls and semantic colours; the string table centralises player-facing text; panel placement is data. These are the right seams for accessibility modes, responsive layout and concept-linked guidance.</w:t>
      </w:r>
    </w:p>
    <w:p>
      <w:pPr>
        <w:pStyle w:val="Heading2"/>
        <w:keepNext/>
      </w:pPr>
      <w:r>
        <w:t>A strong contrast starting point, with one warning</w:t>
      </w:r>
    </w:p>
    <w:p>
      <w:r>
        <w:rPr>
          <w:rFonts w:ascii="Calibri" w:hAnsi="Calibri"/>
        </w:rPr>
        <w:t>Against the opaque panel colour, the shipped theme calculates to about 14.0:1 for primary text, 6.1:1 for weak text and at least 5.0:1 for semantic text colours. These pairs clear the 4.5:1 reference for standard text. This is not a compliance claim: translucent composition, map labels, focus rings, control boundaries and disabled states still need rendered-state audits.</w:t>
      </w:r>
    </w:p>
    <w:p>
      <w:pPr>
        <w:spacing w:before="140" w:after="180"/>
        <w:ind w:left="259" w:right="259"/>
        <w:shd w:fill="FFF4D6"/>
        <w:pBdr>
          <w:left w:val="single" w:sz="20" w:space="8" w:color="7A5A00"/>
        </w:pBdr>
      </w:pPr>
      <w:r>
        <w:rPr>
          <w:rFonts w:ascii="Calibri" w:hAnsi="Calibri"/>
          <w:b/>
          <w:color w:val="7A5A00"/>
          <w:sz w:val="19"/>
        </w:rPr>
        <w:t xml:space="preserve">AUDIT WARNING  </w:t>
      </w:r>
      <w:r>
        <w:rPr>
          <w:rFonts w:ascii="Calibri" w:hAnsi="Calibri"/>
          <w:color w:val="1C232E"/>
          <w:sz w:val="21"/>
        </w:rPr>
        <w:t>The global disabled alpha of 0.45 can blend weak or semantic disabled text below 3:1 even when the unblended token passes.</w:t>
      </w:r>
    </w:p>
    <w:p>
      <w:pPr>
        <w:spacing w:before="40" w:after="120"/>
      </w:pPr>
      <w:r>
        <w:rPr>
          <w:rFonts w:ascii="Calibri" w:hAnsi="Calibri"/>
          <w:i/>
          <w:color w:val="5C6573"/>
          <w:sz w:val="18"/>
        </w:rPr>
        <w:t xml:space="preserve">External reference: </w:t>
      </w:r>
      <w:hyperlink r:id="rId13">
        <w:r>
          <w:rPr>
            <w:rFonts w:ascii="Calibri" w:hAnsi="Calibri"/>
            <w:color w:val="2E74B5"/>
            <w:u w:val="single"/>
          </w:rPr>
          <w:t>Xbox Accessibility Guideline 102 - Contrast</w:t>
        </w:r>
      </w:hyperlink>
    </w:p>
    <w:p>
      <w:pPr>
        <w:pStyle w:val="Heading1"/>
        <w:keepNext/>
      </w:pPr>
      <w:r>
        <w:t>Highest-impact usability gaps</w:t>
      </w:r>
    </w:p>
    <w:p>
      <w:pPr>
        <w:pStyle w:val="Heading2"/>
        <w:keepNext/>
      </w:pPr>
      <w:r>
        <w:t>1. Text is compact but not scalable</w:t>
      </w:r>
    </w:p>
    <w:p>
      <w:r>
        <w:rPr>
          <w:rFonts w:ascii="Calibri" w:hAnsi="Calibri"/>
        </w:rPr>
        <w:t>The shipped type scale is 13 for body text and 11 for small text, with no evidenced UI/text-scale setting. Microsoft recommends a minimum default 18 px body height for PC/VR at 1080p and the ability to scale to 200% without loss of content or meaning.</w:t>
      </w:r>
    </w:p>
    <w:p>
      <w:r>
        <w:rPr>
          <w:rFonts w:ascii="Calibri" w:hAnsi="Calibri"/>
        </w:rPr>
        <w:t>Fixed 260 px and 230 px side docks, a fixed 190 px bottom dock and a single-row permanent top bar make larger text a layout problem as well as a font problem. A global multiplier alone would create clipping and competition for the map.</w:t>
      </w:r>
    </w:p>
    <w:p>
      <w:pPr>
        <w:spacing w:before="40" w:after="120"/>
      </w:pPr>
      <w:r>
        <w:rPr>
          <w:rFonts w:ascii="Calibri" w:hAnsi="Calibri"/>
          <w:i/>
          <w:color w:val="5C6573"/>
          <w:sz w:val="18"/>
        </w:rPr>
        <w:t xml:space="preserve">External reference: </w:t>
      </w:r>
      <w:hyperlink r:id="rId14">
        <w:r>
          <w:rPr>
            <w:rFonts w:ascii="Calibri" w:hAnsi="Calibri"/>
            <w:color w:val="2E74B5"/>
            <w:u w:val="single"/>
          </w:rPr>
          <w:t>Xbox Accessibility Guideline 101 - Text display</w:t>
        </w:r>
      </w:hyperlink>
    </w:p>
    <w:p>
      <w:pPr>
        <w:pStyle w:val="Heading2"/>
        <w:keepNext/>
      </w:pPr>
      <w:r>
        <w:t>2. Important explanations depend on hover and pointer literacy</w:t>
      </w:r>
    </w:p>
    <w:p>
      <w:r>
        <w:rPr>
          <w:rFonts w:ascii="Calibri" w:hAnsi="Calibri"/>
        </w:rPr>
        <w:t>The client contains many hover explanations, including the otherwise invisible right-click-to-dock-right behaviour. Hover is valuable, but it is not a complete explanation channel. The web client especially needs hover/focus content that is keyboard reachable, dismissible, hoverable and persistent.</w:t>
      </w:r>
    </w:p>
    <w:p>
      <w:r>
        <w:rPr>
          <w:rFonts w:ascii="Calibri" w:hAnsi="Calibri"/>
        </w:rPr>
        <w:t>Explicit campaign hotkeys currently cover pause, three speeds and Escape-to-system. There is no evidenced keyboard-complete focus/navigation model.</w:t>
      </w:r>
    </w:p>
    <w:p>
      <w:pPr>
        <w:spacing w:before="40" w:after="120"/>
      </w:pPr>
      <w:r>
        <w:rPr>
          <w:rFonts w:ascii="Calibri" w:hAnsi="Calibri"/>
          <w:i/>
          <w:color w:val="5C6573"/>
          <w:sz w:val="18"/>
        </w:rPr>
        <w:t xml:space="preserve">External reference: </w:t>
      </w:r>
      <w:hyperlink r:id="rId15">
        <w:r>
          <w:rPr>
            <w:rFonts w:ascii="Calibri" w:hAnsi="Calibri"/>
            <w:color w:val="2E74B5"/>
            <w:u w:val="single"/>
          </w:rPr>
          <w:t>W3C - Content on Hover or Focus</w:t>
        </w:r>
      </w:hyperlink>
    </w:p>
    <w:p>
      <w:pPr>
        <w:pStyle w:val="Heading2"/>
        <w:keepNext/>
      </w:pPr>
      <w:r>
        <w:t>3. The title screen offers no learning or accessibility choice</w:t>
      </w:r>
    </w:p>
    <w:p>
      <w:r>
        <w:rPr>
          <w:rFonts w:ascii="Calibri" w:hAnsi="Calibri"/>
        </w:rPr>
        <w:t>New Game, Continue where available and Spectator mode are a clean front door, but there is no Settings entry, onboarding choice or first-launch accessibility surface. New players enter a dense workspace without an explicit contract about who they are or what to inspect first.</w:t>
      </w:r>
    </w:p>
    <w:p>
      <w:pPr>
        <w:pStyle w:val="Heading2"/>
        <w:keepNext/>
      </w:pPr>
      <w:r>
        <w:t>4. Context exists, but choreography does not</w:t>
      </w:r>
    </w:p>
    <w:p>
      <w:r>
        <w:rPr>
          <w:rFonts w:ascii="Calibri" w:hAnsi="Calibri"/>
        </w:rPr>
        <w:t>The opening contains House Harrow, Edrun, holdings, resources, Situations, assignments and map context, but the game does not establish which facts are identity, obligation, opportunity or action. This is the central onboarding gap.</w:t>
      </w:r>
    </w:p>
    <w:p>
      <w:r>
        <w:rPr>
          <w:rFonts w:ascii="Calibri" w:hAnsi="Calibri"/>
        </w:rPr>
        <w:t>The CHI experiment found that tutorials increased play time by up to 29% and progress by up to 75% in its most complex game; just-in-time instruction increased play time by 16% and progress by 40% there. The same interventions did not help the simpler games, so the lesson is targeted support for unfamiliar complexity, not more tutorial everywhere (</w:t>
      </w:r>
      <w:hyperlink r:id="rId11">
        <w:r>
          <w:rPr>
            <w:rFonts w:ascii="Calibri" w:hAnsi="Calibri"/>
            <w:color w:val="2E74B5"/>
            <w:u w:val="single"/>
          </w:rPr>
          <w:t>full paper</w:t>
        </w:r>
      </w:hyperlink>
      <w:r>
        <w:t>).</w:t>
      </w:r>
    </w:p>
    <w:p>
      <w:pPr>
        <w:pStyle w:val="Heading2"/>
        <w:keepNext/>
      </w:pPr>
      <w:r>
        <w:t>5. Attention channels need a policy before they multiply</w:t>
      </w:r>
    </w:p>
    <w:p>
      <w:r>
        <w:rPr>
          <w:rFonts w:ascii="Calibri" w:hAnsi="Calibri"/>
        </w:rPr>
        <w:t>Situations, the attention strip and the log have compatible jobs, but future systems could easily duplicate alarms. Victoria 3 reported cutting notifications by roughly 50% by separating significance and scoping messages to relevant contexts; Stellaris separated low-priority toasts and made message/pausing behaviour configurable.</w:t>
      </w:r>
    </w:p>
    <w:p>
      <w:pPr>
        <w:spacing w:before="40" w:after="120"/>
      </w:pPr>
      <w:r>
        <w:rPr>
          <w:rFonts w:ascii="Calibri" w:hAnsi="Calibri"/>
          <w:i/>
          <w:color w:val="5C6573"/>
          <w:sz w:val="18"/>
        </w:rPr>
        <w:t xml:space="preserve">First-party examples: </w:t>
      </w:r>
      <w:hyperlink r:id="rId16">
        <w:r>
          <w:rPr>
            <w:rFonts w:ascii="Calibri" w:hAnsi="Calibri"/>
            <w:color w:val="2E74B5"/>
            <w:u w:val="single"/>
          </w:rPr>
          <w:t>Victoria 3 UX Improvements</w:t>
        </w:r>
      </w:hyperlink>
      <w:r>
        <w:t xml:space="preserve"> and </w:t>
      </w:r>
      <w:hyperlink r:id="rId17">
        <w:r>
          <w:rPr>
            <w:rFonts w:ascii="Calibri" w:hAnsi="Calibri"/>
            <w:color w:val="2E74B5"/>
            <w:u w:val="single"/>
          </w:rPr>
          <w:t>Stellaris 3.8 update</w:t>
        </w:r>
      </w:hyperlink>
    </w:p>
    <w:p>
      <w:pPr>
        <w:pStyle w:val="Heading1"/>
        <w:keepNext/>
      </w:pPr>
      <w:r>
        <w:t>Recommended product: First Reign</w:t>
      </w:r>
    </w:p>
    <w:p>
      <w:pPr>
        <w:spacing w:before="140" w:after="180"/>
        <w:ind w:left="259" w:right="259"/>
        <w:shd w:fill="E8EEF5"/>
        <w:pBdr>
          <w:left w:val="single" w:sz="20" w:space="8" w:color="1F4D78"/>
        </w:pBdr>
      </w:pPr>
      <w:r>
        <w:rPr>
          <w:rFonts w:ascii="Calibri" w:hAnsi="Calibri"/>
          <w:b/>
          <w:color w:val="1F4D78"/>
          <w:sz w:val="19"/>
        </w:rPr>
        <w:t xml:space="preserve">DESIGN RULE  </w:t>
      </w:r>
      <w:r>
        <w:rPr>
          <w:rFonts w:ascii="Calibri" w:hAnsi="Calibri"/>
          <w:color w:val="1C232E"/>
          <w:sz w:val="21"/>
        </w:rPr>
        <w:t>Teach the normal campaign through ordinary commands. Never alter odds, resources, validation, AI agency or result selection.</w:t>
      </w:r>
    </w:p>
    <w:p>
      <w:r>
        <w:rPr>
          <w:rFonts w:ascii="Calibri" w:hAnsi="Calibri"/>
        </w:rPr>
        <w:t>Add a short objective chain over the Ashkarr Succession. Enable it by default for a first campaign; keep it visible but unobtrusive in Situations; let an expert dismiss it in one action and restart it from Help.</w:t>
      </w:r>
    </w:p>
    <w:p>
      <w:r>
        <w:rPr>
          <w:rFonts w:ascii="Calibri" w:hAnsi="Calibri"/>
        </w:rPr>
        <w:t>Each objective offers two voluntary layers: Show me how points to the normal interface; Why this matters explains the strategic meaning. This adapts Victoria 3's modular live-campaign pattern while rejecting its reduced tutorial AI aggression, which conflicts with Last Aeon's accepted design.</w:t>
      </w:r>
    </w:p>
    <w:p>
      <w:pPr>
        <w:pStyle w:val="Heading2"/>
        <w:keepNext/>
      </w:pPr>
      <w:r>
        <w:t>1. Know your house</w:t>
      </w:r>
    </w:p>
    <w:p>
      <w:r>
        <w:rPr>
          <w:rFonts w:ascii="Calibri" w:hAnsi="Calibri"/>
        </w:rPr>
        <w:t>Identify House Harrow, Edrun, liege, holdings and the four resources. Explain that the house persists while particular people carry authority and risk. Complete through explicit acknowledgement after the facts are visible, not a stray click.</w:t>
      </w:r>
    </w:p>
    <w:p>
      <w:pPr>
        <w:pStyle w:val="Heading2"/>
        <w:keepNext/>
      </w:pPr>
      <w:r>
        <w:t>2. Read the political field</w:t>
      </w:r>
    </w:p>
    <w:p>
      <w:r>
        <w:rPr>
          <w:rFonts w:ascii="Calibri" w:hAnsi="Calibri"/>
        </w:rPr>
        <w:t>Open the Veyrin favour and Empty Paramountcy Situations. Contrast obligation with ambition without implying that declaring for the Paramountcy is correct. Name loyalty, independence, administration, intrigue and preparation as valid paths.</w:t>
      </w:r>
    </w:p>
    <w:p>
      <w:pPr>
        <w:pStyle w:val="Heading2"/>
        <w:keepNext/>
      </w:pPr>
      <w:r>
        <w:t>3. Compare delegates</w:t>
      </w:r>
    </w:p>
    <w:p>
      <w:r>
        <w:rPr>
          <w:rFonts w:ascii="Calibri" w:hAnsi="Calibri"/>
        </w:rPr>
        <w:t>Open an available assignment, compare at least two eligible leaders and inspect the forecast. Explain delay, duration, skill contest, outcome distribution and conditional personal risk. Keep unavailable leaders visible.</w:t>
      </w:r>
    </w:p>
    <w:p>
      <w:pPr>
        <w:pStyle w:val="Heading2"/>
        <w:keepNext/>
        <w:pageBreakBefore/>
      </w:pPr>
      <w:r>
        <w:t>4. Commit one real command</w:t>
      </w:r>
    </w:p>
    <w:p>
      <w:r>
        <w:rPr>
          <w:rFonts w:ascii="Calibri" w:hAnsi="Calibri"/>
        </w:rPr>
        <w:t>Issue any eligible ordinary assignment. Complete from validated command/log evidence, not the button click. Treat a refusal reason as a learning moment and keep the objective active.</w:t>
      </w:r>
    </w:p>
    <w:p>
      <w:pPr>
        <w:pStyle w:val="Heading2"/>
        <w:keepNext/>
      </w:pPr>
      <w:r>
        <w:t>5. Watch consequence become history</w:t>
      </w:r>
    </w:p>
    <w:p>
      <w:r>
        <w:rPr>
          <w:rFonts w:ascii="Calibri" w:hAnsi="Calibri"/>
        </w:rPr>
        <w:t>Unpause, observe travel/start, then find the result in assignments, Situation history or the log. End by returning agency: continue the aim, answer another Situation or let time run.</w:t>
      </w:r>
    </w:p>
    <w:p>
      <w:pPr>
        <w:pStyle w:val="Heading2"/>
        <w:keepNext/>
      </w:pPr>
      <w:r>
        <w:t>Persistence without polluting determinism</w:t>
      </w:r>
    </w:p>
    <w:p>
      <w:r>
        <w:rPr>
          <w:rFonts w:ascii="Calibri" w:hAnsi="Calibri"/>
        </w:rPr>
        <w:t>Use a versioned, presentation-owned OnboardingProfile rather than authoritative simulation state. Store enabled/dismissed state, completed concept lessons and guide version. Native can use a small profile file; web can use localStorage even before campaign persistence exists. Derive campaign-specific completion from authoritative state, accepted commands and tagged log evidence where practical.</w:t>
      </w:r>
    </w:p>
    <w:p>
      <w:r>
        <w:rPr>
          <w:rFonts w:ascii="Calibri" w:hAnsi="Calibri"/>
        </w:rPr>
        <w:t>If adopted, model the presentation entity and its boundary in PASM before implementation and apply the repository's AI-origin markers to new decisions.</w:t>
      </w:r>
    </w:p>
    <w:p>
      <w:pPr>
        <w:pStyle w:val="Heading1"/>
        <w:keepNext/>
      </w:pPr>
      <w:r>
        <w:t>Readability and interaction foundation</w:t>
      </w:r>
    </w:p>
    <w:p>
      <w:pPr>
        <w:pStyle w:val="Heading2"/>
        <w:keepNext/>
      </w:pPr>
      <w:r>
        <w:t>A. Separate text scale from information density</w:t>
      </w:r>
    </w:p>
    <w:p>
      <w:r>
        <w:rPr>
          <w:rFonts w:ascii="Calibri" w:hAnsi="Calibri"/>
        </w:rPr>
        <w:t>Provide text presets at 100%, 125%, 150% and 200%, plus Compact and Comfortable density. Text scale changes type; density changes padding and row height. Experts can retain a dense workspace without being forced to accept small text.</w:t>
      </w:r>
    </w:p>
    <w:p>
      <w:pPr>
        <w:pStyle w:val="ListBullet"/>
      </w:pPr>
      <w:r>
        <w:rPr>
          <w:rFonts w:ascii="Calibri" w:hAnsi="Calibri"/>
        </w:rPr>
        <w:t>18 logical px default body for an accessibility-aligned preset; secondary text no smaller than 16.</w:t>
      </w:r>
    </w:p>
    <w:p>
      <w:pPr>
        <w:pStyle w:val="ListBullet"/>
      </w:pPr>
      <w:r>
        <w:rPr>
          <w:rFonts w:ascii="Calibri" w:hAnsi="Calibri"/>
        </w:rPr>
        <w:t>Headings remain distinct at every scale.</w:t>
      </w:r>
    </w:p>
    <w:p>
      <w:pPr>
        <w:pStyle w:val="ListBullet"/>
      </w:pPr>
      <w:r>
        <w:rPr>
          <w:rFonts w:ascii="Calibri" w:hAnsi="Calibri"/>
        </w:rPr>
        <w:t>32 px minimum routine desktop controls; 44 px Comfortable/touch targets where layout permits.</w:t>
      </w:r>
    </w:p>
    <w:p>
      <w:pPr>
        <w:pStyle w:val="ListBullet"/>
      </w:pPr>
      <w:r>
        <w:rPr>
          <w:rFonts w:ascii="Calibri" w:hAnsi="Calibri"/>
        </w:rPr>
        <w:t>Never regress below the existing 24 by 24 minimum for pointer targets.</w:t>
      </w:r>
    </w:p>
    <w:p>
      <w:pPr>
        <w:spacing w:before="40" w:after="120"/>
      </w:pPr>
      <w:r>
        <w:rPr>
          <w:rFonts w:ascii="Calibri" w:hAnsi="Calibri"/>
          <w:i/>
          <w:color w:val="5C6573"/>
          <w:sz w:val="18"/>
        </w:rPr>
        <w:t xml:space="preserve">Standards references: </w:t>
      </w:r>
      <w:hyperlink r:id="rId18">
        <w:r>
          <w:rPr>
            <w:rFonts w:ascii="Calibri" w:hAnsi="Calibri"/>
            <w:color w:val="2E74B5"/>
            <w:u w:val="single"/>
          </w:rPr>
          <w:t>W3C Target Size Minimum</w:t>
        </w:r>
      </w:hyperlink>
      <w:r>
        <w:t xml:space="preserve"> and </w:t>
      </w:r>
      <w:hyperlink r:id="rId19">
        <w:r>
          <w:rPr>
            <w:rFonts w:ascii="Calibri" w:hAnsi="Calibri"/>
            <w:color w:val="2E74B5"/>
            <w:u w:val="single"/>
          </w:rPr>
          <w:t>Target Size Enhanced</w:t>
        </w:r>
      </w:hyperlink>
    </w:p>
    <w:p>
      <w:pPr>
        <w:pStyle w:val="Heading2"/>
        <w:keepNext/>
      </w:pPr>
      <w:r>
        <w:t>B. Make the shell responsive</w:t>
      </w:r>
    </w:p>
    <w:p>
      <w:pPr>
        <w:pStyle w:val="ListBullet"/>
      </w:pPr>
      <w:r>
        <w:rPr>
          <w:rFonts w:ascii="Calibri" w:hAnsi="Calibri"/>
        </w:rPr>
        <w:t>Wide: retain the three-edge workspace.</w:t>
      </w:r>
    </w:p>
    <w:p>
      <w:pPr>
        <w:pStyle w:val="ListBullet"/>
      </w:pPr>
      <w:r>
        <w:rPr>
          <w:rFonts w:ascii="Calibri" w:hAnsi="Calibri"/>
        </w:rPr>
        <w:t>Compact: one side dock at a time; bottom panels become tabs.</w:t>
      </w:r>
    </w:p>
    <w:p>
      <w:pPr>
        <w:pStyle w:val="ListBullet"/>
      </w:pPr>
      <w:r>
        <w:rPr>
          <w:rFonts w:ascii="Calibri" w:hAnsi="Calibri"/>
        </w:rPr>
        <w:t>Narrow or high scale: top bar becomes two rows or an overflow menu; identity, date, pause and Situation count remain visible.</w:t>
      </w:r>
    </w:p>
    <w:p>
      <w:pPr>
        <w:pStyle w:val="ListBullet"/>
      </w:pPr>
      <w:r>
        <w:rPr>
          <w:rFonts w:ascii="Calibri" w:hAnsi="Calibri"/>
        </w:rPr>
        <w:t>Enforce readable panel minimums and vertical scrolling; never clip text to protect map area.</w:t>
      </w:r>
    </w:p>
    <w:p>
      <w:pPr>
        <w:pStyle w:val="ListBullet"/>
      </w:pPr>
      <w:r>
        <w:rPr>
          <w:rFonts w:ascii="Calibri" w:hAnsi="Calibri"/>
        </w:rPr>
        <w:t>Prevent two-direction scrolling inside ordinary text panels when type is enlarged.</w:t>
      </w:r>
    </w:p>
    <w:p>
      <w:pPr>
        <w:spacing w:before="40" w:after="120"/>
      </w:pPr>
      <w:r>
        <w:rPr>
          <w:rFonts w:ascii="Calibri" w:hAnsi="Calibri"/>
          <w:i/>
          <w:color w:val="5C6573"/>
          <w:sz w:val="18"/>
        </w:rPr>
        <w:t xml:space="preserve">External reference: </w:t>
      </w:r>
      <w:hyperlink r:id="rId20">
        <w:r>
          <w:rPr>
            <w:rFonts w:ascii="Calibri" w:hAnsi="Calibri"/>
            <w:color w:val="2E74B5"/>
            <w:u w:val="single"/>
          </w:rPr>
          <w:t>Xbox Accessibility Guideline 112 - UI navigation</w:t>
        </w:r>
      </w:hyperlink>
    </w:p>
    <w:p>
      <w:pPr>
        <w:pStyle w:val="Heading2"/>
        <w:keepNext/>
      </w:pPr>
      <w:r>
        <w:t>C. Build an explanation ladder</w:t>
      </w:r>
    </w:p>
    <w:p>
      <w:pPr>
        <w:pStyle w:val="ListBullet"/>
      </w:pPr>
      <w:r>
        <w:rPr>
          <w:rFonts w:ascii="Calibri" w:hAnsi="Calibri"/>
        </w:rPr>
        <w:t>Visible label or summary answers the immediate question without hover.</w:t>
      </w:r>
    </w:p>
    <w:p>
      <w:pPr>
        <w:pStyle w:val="ListBullet"/>
      </w:pPr>
      <w:r>
        <w:rPr>
          <w:rFonts w:ascii="Calibri" w:hAnsi="Calibri"/>
        </w:rPr>
        <w:t>Hover or focus card gives a one-screen explanation with pin and Escape dismissal.</w:t>
      </w:r>
    </w:p>
    <w:p>
      <w:pPr>
        <w:pStyle w:val="ListBullet"/>
      </w:pPr>
      <w:r>
        <w:rPr>
          <w:rFonts w:ascii="Calibri" w:hAnsi="Calibri"/>
        </w:rPr>
        <w:t>Concept link opens a stable entry with examples and backlinks.</w:t>
      </w:r>
    </w:p>
    <w:p>
      <w:pPr>
        <w:pStyle w:val="ListBullet"/>
      </w:pPr>
      <w:r>
        <w:rPr>
          <w:rFonts w:ascii="Calibri" w:hAnsi="Calibri"/>
        </w:rPr>
        <w:t>Show me how and Why this matters add optional procedural and strategic help.</w:t>
      </w:r>
    </w:p>
    <w:p>
      <w:pPr>
        <w:pStyle w:val="ListBullet"/>
      </w:pPr>
      <w:r>
        <w:rPr>
          <w:rFonts w:ascii="Calibri" w:hAnsi="Calibri"/>
        </w:rPr>
        <w:t>Global search includes concepts as well as campaign subjects.</w:t>
      </w:r>
    </w:p>
    <w:p>
      <w:pPr>
        <w:pStyle w:val="Heading2"/>
        <w:keepNext/>
      </w:pPr>
      <w:r>
        <w:t>D. Complete keyboard focus before multiplying shortcuts</w:t>
      </w:r>
    </w:p>
    <w:p>
      <w:r>
        <w:rPr>
          <w:rFonts w:ascii="Calibri" w:hAnsi="Calibri"/>
        </w:rPr>
        <w:t>Implement logical Tab/Shift+Tab focus, arrow navigation within lists and grids, Enter/Space activation, Escape close/back, and a visible focus treatment. Focus order must follow the visual order as panels move. Add remappable expert shortcuts after this foundation.</w:t>
      </w:r>
    </w:p>
    <w:p>
      <w:pPr>
        <w:spacing w:before="40" w:after="120"/>
      </w:pPr>
      <w:r>
        <w:rPr>
          <w:rFonts w:ascii="Calibri" w:hAnsi="Calibri"/>
          <w:i/>
          <w:color w:val="5C6573"/>
          <w:sz w:val="18"/>
        </w:rPr>
        <w:t xml:space="preserve">External references: </w:t>
      </w:r>
      <w:hyperlink r:id="rId20">
        <w:r>
          <w:rPr>
            <w:rFonts w:ascii="Calibri" w:hAnsi="Calibri"/>
            <w:color w:val="2E74B5"/>
            <w:u w:val="single"/>
          </w:rPr>
          <w:t>Xbox UI navigation</w:t>
        </w:r>
      </w:hyperlink>
      <w:r>
        <w:t xml:space="preserve"> and </w:t>
      </w:r>
      <w:hyperlink r:id="rId21">
        <w:r>
          <w:rPr>
            <w:rFonts w:ascii="Calibri" w:hAnsi="Calibri"/>
            <w:color w:val="2E74B5"/>
            <w:u w:val="single"/>
          </w:rPr>
          <w:t>UI focus handling</w:t>
        </w:r>
      </w:hyperlink>
    </w:p>
    <w:p>
      <w:pPr>
        <w:pStyle w:val="Heading2"/>
        <w:keepNext/>
      </w:pPr>
      <w:r>
        <w:t>E. Make the first screen honest and useful</w:t>
      </w:r>
    </w:p>
    <w:p>
      <w:pPr>
        <w:pStyle w:val="ListBullet"/>
      </w:pPr>
      <w:r>
        <w:rPr>
          <w:rFonts w:ascii="Calibri" w:hAnsi="Calibri"/>
        </w:rPr>
        <w:t>Settings, including UI scale and accessibility.</w:t>
      </w:r>
    </w:p>
    <w:p>
      <w:pPr>
        <w:pStyle w:val="ListBullet"/>
      </w:pPr>
      <w:r>
        <w:rPr>
          <w:rFonts w:ascii="Calibri" w:hAnsi="Calibri"/>
        </w:rPr>
        <w:t>Guide my first reign beside New Game, explained in one sentence.</w:t>
      </w:r>
    </w:p>
    <w:p>
      <w:pPr>
        <w:pStyle w:val="ListBullet"/>
      </w:pPr>
      <w:r>
        <w:rPr>
          <w:rFonts w:ascii="Calibri" w:hAnsi="Calibri"/>
        </w:rPr>
        <w:t>A clear browser warning that current web campaigns do not persist.</w:t>
      </w:r>
    </w:p>
    <w:p>
      <w:pPr>
        <w:pStyle w:val="ListBullet"/>
      </w:pPr>
      <w:r>
        <w:rPr>
          <w:rFonts w:ascii="Calibri" w:hAnsi="Calibri"/>
        </w:rPr>
        <w:t>A reason when Continue cannot be used, rather than silent failure.</w:t>
      </w:r>
    </w:p>
    <w:p>
      <w:pPr>
        <w:pStyle w:val="Heading1"/>
        <w:keepNext/>
      </w:pPr>
      <w:r>
        <w:t>Attention policy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vAlign w:val="center"/>
            <w:shd w:fill="F2F4F7"/>
          </w:tcPr>
          <w:p>
            <w:r>
              <w:rPr>
                <w:rFonts w:ascii="Calibri" w:hAnsi="Calibri"/>
                <w:b/>
                <w:color w:val="1F4D78"/>
              </w:rPr>
              <w:t>Channel</w:t>
            </w:r>
          </w:p>
        </w:tc>
        <w:tc>
          <w:tcPr>
            <w:tcW w:type="dxa" w:w="7460"/>
            <w:tcMar>
              <w:top w:w="80" w:type="dxa"/>
              <w:start w:w="120" w:type="dxa"/>
              <w:bottom w:w="80" w:type="dxa"/>
              <w:end w:w="120" w:type="dxa"/>
            </w:tcMar>
            <w:vAlign w:val="center"/>
            <w:shd w:fill="F2F4F7"/>
          </w:tcPr>
          <w:p>
            <w:r>
              <w:rPr>
                <w:rFonts w:ascii="Calibri" w:hAnsi="Calibri"/>
                <w:b/>
                <w:color w:val="1F4D78"/>
              </w:rPr>
              <w:t>One job</w:t>
            </w:r>
          </w:p>
        </w:tc>
      </w:tr>
      <w:tr>
        <w:tc>
          <w:tcPr>
            <w:tcW w:type="dxa" w:w="1900"/>
            <w:tcMar>
              <w:top w:w="80" w:type="dxa"/>
              <w:start w:w="120" w:type="dxa"/>
              <w:bottom w:w="80" w:type="dxa"/>
              <w:end w:w="120" w:type="dxa"/>
            </w:tcMar>
            <w:vAlign w:val="center"/>
          </w:tcPr>
          <w:p>
            <w:r>
              <w:rPr>
                <w:rFonts w:ascii="Calibri" w:hAnsi="Calibri"/>
                <w:sz w:val="20"/>
              </w:rPr>
              <w:t>Situation</w:t>
            </w:r>
          </w:p>
        </w:tc>
        <w:tc>
          <w:tcPr>
            <w:tcW w:type="dxa" w:w="7460"/>
            <w:tcMar>
              <w:top w:w="80" w:type="dxa"/>
              <w:start w:w="120" w:type="dxa"/>
              <w:bottom w:w="80" w:type="dxa"/>
              <w:end w:w="120" w:type="dxa"/>
            </w:tcMar>
            <w:vAlign w:val="center"/>
          </w:tcPr>
          <w:p>
            <w:r>
              <w:rPr>
                <w:rFonts w:ascii="Calibri" w:hAnsi="Calibri"/>
                <w:sz w:val="20"/>
              </w:rPr>
              <w:t>Persistent problem or opportunity with state, history and actions.</w:t>
            </w:r>
          </w:p>
        </w:tc>
      </w:tr>
      <w:tr>
        <w:tc>
          <w:tcPr>
            <w:tcW w:type="dxa" w:w="1900"/>
            <w:tcMar>
              <w:top w:w="80" w:type="dxa"/>
              <w:start w:w="120" w:type="dxa"/>
              <w:bottom w:w="80" w:type="dxa"/>
              <w:end w:w="120" w:type="dxa"/>
            </w:tcMar>
            <w:vAlign w:val="center"/>
          </w:tcPr>
          <w:p>
            <w:r>
              <w:rPr>
                <w:rFonts w:ascii="Calibri" w:hAnsi="Calibri"/>
                <w:sz w:val="20"/>
              </w:rPr>
              <w:t>Urgent strip</w:t>
            </w:r>
          </w:p>
        </w:tc>
        <w:tc>
          <w:tcPr>
            <w:tcW w:type="dxa" w:w="7460"/>
            <w:tcMar>
              <w:top w:w="80" w:type="dxa"/>
              <w:start w:w="120" w:type="dxa"/>
              <w:bottom w:w="80" w:type="dxa"/>
              <w:end w:w="120" w:type="dxa"/>
            </w:tcMar>
            <w:vAlign w:val="center"/>
          </w:tcPr>
          <w:p>
            <w:r>
              <w:rPr>
                <w:rFonts w:ascii="Calibri" w:hAnsi="Calibri"/>
                <w:sz w:val="20"/>
              </w:rPr>
              <w:t>Small set of immediate actionable threats, linked to the owning Situation or subject.</w:t>
            </w:r>
          </w:p>
        </w:tc>
      </w:tr>
      <w:tr>
        <w:tc>
          <w:tcPr>
            <w:tcW w:type="dxa" w:w="1900"/>
            <w:tcMar>
              <w:top w:w="80" w:type="dxa"/>
              <w:start w:w="120" w:type="dxa"/>
              <w:bottom w:w="80" w:type="dxa"/>
              <w:end w:w="120" w:type="dxa"/>
            </w:tcMar>
            <w:vAlign w:val="center"/>
          </w:tcPr>
          <w:p>
            <w:r>
              <w:rPr>
                <w:rFonts w:ascii="Calibri" w:hAnsi="Calibri"/>
                <w:sz w:val="20"/>
              </w:rPr>
              <w:t>Decision popup</w:t>
            </w:r>
          </w:p>
        </w:tc>
        <w:tc>
          <w:tcPr>
            <w:tcW w:type="dxa" w:w="7460"/>
            <w:tcMar>
              <w:top w:w="80" w:type="dxa"/>
              <w:start w:w="120" w:type="dxa"/>
              <w:bottom w:w="80" w:type="dxa"/>
              <w:end w:w="120" w:type="dxa"/>
            </w:tcMar>
            <w:vAlign w:val="center"/>
          </w:tcPr>
          <w:p>
            <w:r>
              <w:rPr>
                <w:rFonts w:ascii="Calibri" w:hAnsi="Calibri"/>
                <w:sz w:val="20"/>
              </w:rPr>
              <w:t>A result or choice requiring a response now.</w:t>
            </w:r>
          </w:p>
        </w:tc>
      </w:tr>
      <w:tr>
        <w:tc>
          <w:tcPr>
            <w:tcW w:type="dxa" w:w="1900"/>
            <w:tcMar>
              <w:top w:w="80" w:type="dxa"/>
              <w:start w:w="120" w:type="dxa"/>
              <w:bottom w:w="80" w:type="dxa"/>
              <w:end w:w="120" w:type="dxa"/>
            </w:tcMar>
            <w:vAlign w:val="center"/>
          </w:tcPr>
          <w:p>
            <w:r>
              <w:rPr>
                <w:rFonts w:ascii="Calibri" w:hAnsi="Calibri"/>
                <w:sz w:val="20"/>
              </w:rPr>
              <w:t>Log</w:t>
            </w:r>
          </w:p>
        </w:tc>
        <w:tc>
          <w:tcPr>
            <w:tcW w:type="dxa" w:w="7460"/>
            <w:tcMar>
              <w:top w:w="80" w:type="dxa"/>
              <w:start w:w="120" w:type="dxa"/>
              <w:bottom w:w="80" w:type="dxa"/>
              <w:end w:w="120" w:type="dxa"/>
            </w:tcMar>
            <w:vAlign w:val="center"/>
          </w:tcPr>
          <w:p>
            <w:r>
              <w:rPr>
                <w:rFonts w:ascii="Calibri" w:hAnsi="Calibri"/>
                <w:sz w:val="20"/>
              </w:rPr>
              <w:t>Durable chronological consequence; never demands acknowledgement.</w:t>
            </w:r>
          </w:p>
        </w:tc>
      </w:tr>
      <w:tr>
        <w:tc>
          <w:tcPr>
            <w:tcW w:type="dxa" w:w="1900"/>
            <w:tcMar>
              <w:top w:w="80" w:type="dxa"/>
              <w:start w:w="120" w:type="dxa"/>
              <w:bottom w:w="80" w:type="dxa"/>
              <w:end w:w="120" w:type="dxa"/>
            </w:tcMar>
            <w:vAlign w:val="center"/>
          </w:tcPr>
          <w:p>
            <w:r>
              <w:rPr>
                <w:rFonts w:ascii="Calibri" w:hAnsi="Calibri"/>
                <w:sz w:val="20"/>
              </w:rPr>
              <w:t>Toast (future)</w:t>
            </w:r>
          </w:p>
        </w:tc>
        <w:tc>
          <w:tcPr>
            <w:tcW w:type="dxa" w:w="7460"/>
            <w:tcMar>
              <w:top w:w="80" w:type="dxa"/>
              <w:start w:w="120" w:type="dxa"/>
              <w:bottom w:w="80" w:type="dxa"/>
              <w:end w:w="120" w:type="dxa"/>
            </w:tcMar>
            <w:vAlign w:val="center"/>
          </w:tcPr>
          <w:p>
            <w:r>
              <w:rPr>
                <w:rFonts w:ascii="Calibri" w:hAnsi="Calibri"/>
                <w:sz w:val="20"/>
              </w:rPr>
              <w:t>Low-stakes confirmation only; never the sole carrier of important information.</w:t>
            </w:r>
          </w:p>
        </w:tc>
      </w:tr>
    </w:tbl>
    <w:p>
      <w:r>
        <w:rPr>
          <w:rFonts w:ascii="Calibri" w:hAnsi="Calibri"/>
        </w:rPr>
        <w:t>Every event type should declare severity, persistence, auto-pause policy, owner surface and deduplication key. Do not add a general notification feed until these fields are data-driven.</w:t>
      </w:r>
    </w:p>
    <w:p>
      <w:pPr>
        <w:pStyle w:val="Heading1"/>
        <w:keepNext/>
      </w:pPr>
      <w:r>
        <w:t>What not to build first</w:t>
      </w:r>
    </w:p>
    <w:p>
      <w:pPr>
        <w:pStyle w:val="ListBullet"/>
      </w:pPr>
      <w:r>
        <w:rPr>
          <w:rFonts w:ascii="Calibri" w:hAnsi="Calibri"/>
        </w:rPr>
        <w:t>A separate tutorial map or simplified simulation.</w:t>
      </w:r>
    </w:p>
    <w:p>
      <w:pPr>
        <w:pStyle w:val="ListBullet"/>
      </w:pPr>
      <w:r>
        <w:rPr>
          <w:rFonts w:ascii="Calibri" w:hAnsi="Calibri"/>
        </w:rPr>
        <w:t>A long modal click-through that darkens the real interface.</w:t>
      </w:r>
    </w:p>
    <w:p>
      <w:pPr>
        <w:pStyle w:val="ListBullet"/>
      </w:pPr>
      <w:r>
        <w:rPr>
          <w:rFonts w:ascii="Calibri" w:hAnsi="Calibri"/>
        </w:rPr>
        <w:t>A codex full of prose before inline summaries and concept links work.</w:t>
      </w:r>
    </w:p>
    <w:p>
      <w:pPr>
        <w:pStyle w:val="ListBullet"/>
      </w:pPr>
      <w:r>
        <w:rPr>
          <w:rFonts w:ascii="Calibri" w:hAnsi="Calibri"/>
        </w:rPr>
        <w:t>More permanent HUD counters without a high-frequency decision use.</w:t>
      </w:r>
    </w:p>
    <w:p>
      <w:pPr>
        <w:pStyle w:val="ListBullet"/>
      </w:pPr>
      <w:r>
        <w:rPr>
          <w:rFonts w:ascii="Calibri" w:hAnsi="Calibri"/>
        </w:rPr>
        <w:t>A new alert/toast channel without ownership and severity rules.</w:t>
      </w:r>
    </w:p>
    <w:p>
      <w:pPr>
        <w:pStyle w:val="ListBullet"/>
      </w:pPr>
      <w:r>
        <w:rPr>
          <w:rFonts w:ascii="Calibri" w:hAnsi="Calibri"/>
        </w:rPr>
        <w:t>Decorative animation, portraiture or ornamentation as the primary readability fix.</w:t>
      </w:r>
    </w:p>
    <w:p>
      <w:pPr>
        <w:pStyle w:val="ListBullet"/>
      </w:pPr>
      <w:r>
        <w:rPr>
          <w:rFonts w:ascii="Calibri" w:hAnsi="Calibri"/>
        </w:rPr>
        <w:t>Hidden unavailable actions; their reasons are part of learning.</w:t>
      </w:r>
    </w:p>
    <w:p>
      <w:r>
        <w:rPr>
          <w:rFonts w:ascii="Calibri" w:hAnsi="Calibri"/>
        </w:rPr>
        <w:t>Visual polish still matters, but it should reinforce the decision hierarchy. Paradox's art team frames the same priority: map complexity should not compete with the interface, and visual emphasis should follow important decisions (</w:t>
      </w:r>
      <w:hyperlink r:id="rId22">
        <w:r>
          <w:rPr>
            <w:rFonts w:ascii="Calibri" w:hAnsi="Calibri"/>
            <w:color w:val="2E74B5"/>
            <w:u w:val="single"/>
          </w:rPr>
          <w:t>Victoria 3 Graphic Overview</w:t>
        </w:r>
      </w:hyperlink>
      <w:r>
        <w:t>). Last Aeon's immediate gap is interaction hierarchy at larger type and clearer focus, not a new art identity.</w:t>
      </w:r>
    </w:p>
    <w:p>
      <w:pPr>
        <w:pStyle w:val="Heading1"/>
        <w:keepNext/>
      </w:pPr>
      <w:r>
        <w:t>Prioritised roadmap</w:t>
      </w:r>
    </w:p>
    <w:tbl>
      <w:tblPr>
        <w:tblStyle w:val="TableGrid"/>
        <w:tblW w:type="dxa" w:w="9360"/>
        <w:tblLayout w:type="fixed"/>
        <w:tblLook w:firstColumn="1" w:firstRow="1" w:lastColumn="0" w:lastRow="0" w:noHBand="0" w:noVBand="1" w:val="04A0"/>
        <w:jc w:val="left"/>
        <w:tblInd w:w="120" w:type="dxa"/>
      </w:tblPr>
      <w:tblGrid>
        <w:gridCol w:w="650"/>
        <w:gridCol w:w="2500"/>
        <w:gridCol w:w="1300"/>
        <w:gridCol w:w="4910"/>
      </w:tblGrid>
      <w:tr>
        <w:trPr>
          <w:tblHeader w:val="true"/>
        </w:trPr>
        <w:tc>
          <w:tcPr>
            <w:tcW w:type="dxa" w:w="650"/>
            <w:tcMar>
              <w:top w:w="80" w:type="dxa"/>
              <w:start w:w="120" w:type="dxa"/>
              <w:bottom w:w="80" w:type="dxa"/>
              <w:end w:w="120" w:type="dxa"/>
            </w:tcMar>
            <w:vAlign w:val="center"/>
            <w:shd w:fill="F2F4F7"/>
          </w:tcPr>
          <w:p>
            <w:r>
              <w:rPr>
                <w:rFonts w:ascii="Calibri" w:hAnsi="Calibri"/>
                <w:b/>
                <w:color w:val="1F4D78"/>
              </w:rPr>
              <w:t>#</w:t>
            </w:r>
          </w:p>
        </w:tc>
        <w:tc>
          <w:tcPr>
            <w:tcW w:type="dxa" w:w="2500"/>
            <w:tcMar>
              <w:top w:w="80" w:type="dxa"/>
              <w:start w:w="120" w:type="dxa"/>
              <w:bottom w:w="80" w:type="dxa"/>
              <w:end w:w="120" w:type="dxa"/>
            </w:tcMar>
            <w:vAlign w:val="center"/>
            <w:shd w:fill="F2F4F7"/>
          </w:tcPr>
          <w:p>
            <w:r>
              <w:rPr>
                <w:rFonts w:ascii="Calibri" w:hAnsi="Calibri"/>
                <w:b/>
                <w:color w:val="1F4D78"/>
              </w:rPr>
              <w:t>Outcome</w:t>
            </w:r>
          </w:p>
        </w:tc>
        <w:tc>
          <w:tcPr>
            <w:tcW w:type="dxa" w:w="1300"/>
            <w:tcMar>
              <w:top w:w="80" w:type="dxa"/>
              <w:start w:w="120" w:type="dxa"/>
              <w:bottom w:w="80" w:type="dxa"/>
              <w:end w:w="120" w:type="dxa"/>
            </w:tcMar>
            <w:vAlign w:val="center"/>
            <w:shd w:fill="F2F4F7"/>
          </w:tcPr>
          <w:p>
            <w:r>
              <w:rPr>
                <w:rFonts w:ascii="Calibri" w:hAnsi="Calibri"/>
                <w:b/>
                <w:color w:val="1F4D78"/>
              </w:rPr>
              <w:t>Effort</w:t>
            </w:r>
          </w:p>
        </w:tc>
        <w:tc>
          <w:tcPr>
            <w:tcW w:type="dxa" w:w="4910"/>
            <w:tcMar>
              <w:top w:w="80" w:type="dxa"/>
              <w:start w:w="120" w:type="dxa"/>
              <w:bottom w:w="80" w:type="dxa"/>
              <w:end w:w="120" w:type="dxa"/>
            </w:tcMar>
            <w:vAlign w:val="center"/>
            <w:shd w:fill="F2F4F7"/>
          </w:tcPr>
          <w:p>
            <w:r>
              <w:rPr>
                <w:rFonts w:ascii="Calibri" w:hAnsi="Calibri"/>
                <w:b/>
                <w:color w:val="1F4D78"/>
              </w:rPr>
              <w:t>Representative scope</w:t>
            </w:r>
          </w:p>
        </w:tc>
      </w:tr>
      <w:tr>
        <w:tc>
          <w:tcPr>
            <w:tcW w:type="dxa" w:w="650"/>
            <w:tcMar>
              <w:top w:w="80" w:type="dxa"/>
              <w:start w:w="120" w:type="dxa"/>
              <w:bottom w:w="80" w:type="dxa"/>
              <w:end w:w="120" w:type="dxa"/>
            </w:tcMar>
            <w:vAlign w:val="center"/>
          </w:tcPr>
          <w:p>
            <w:r>
              <w:rPr>
                <w:rFonts w:ascii="Calibri" w:hAnsi="Calibri"/>
                <w:sz w:val="19"/>
              </w:rPr>
              <w:t>0</w:t>
            </w:r>
          </w:p>
        </w:tc>
        <w:tc>
          <w:tcPr>
            <w:tcW w:type="dxa" w:w="2500"/>
            <w:tcMar>
              <w:top w:w="80" w:type="dxa"/>
              <w:start w:w="120" w:type="dxa"/>
              <w:bottom w:w="80" w:type="dxa"/>
              <w:end w:w="120" w:type="dxa"/>
            </w:tcMar>
            <w:vAlign w:val="center"/>
          </w:tcPr>
          <w:p>
            <w:r>
              <w:rPr>
                <w:rFonts w:ascii="Calibri" w:hAnsi="Calibri"/>
                <w:sz w:val="19"/>
              </w:rPr>
              <w:t>Baseline and evidence</w:t>
            </w:r>
          </w:p>
        </w:tc>
        <w:tc>
          <w:tcPr>
            <w:tcW w:type="dxa" w:w="1300"/>
            <w:tcMar>
              <w:top w:w="80" w:type="dxa"/>
              <w:start w:w="120" w:type="dxa"/>
              <w:bottom w:w="80" w:type="dxa"/>
              <w:end w:w="120" w:type="dxa"/>
            </w:tcMar>
            <w:vAlign w:val="center"/>
          </w:tcPr>
          <w:p>
            <w:r>
              <w:rPr>
                <w:rFonts w:ascii="Calibri" w:hAnsi="Calibri"/>
                <w:sz w:val="19"/>
              </w:rPr>
              <w:t>Small</w:t>
            </w:r>
          </w:p>
        </w:tc>
        <w:tc>
          <w:tcPr>
            <w:tcW w:type="dxa" w:w="4910"/>
            <w:tcMar>
              <w:top w:w="80" w:type="dxa"/>
              <w:start w:w="120" w:type="dxa"/>
              <w:bottom w:w="80" w:type="dxa"/>
              <w:end w:w="120" w:type="dxa"/>
            </w:tcMar>
            <w:vAlign w:val="center"/>
          </w:tcPr>
          <w:p>
            <w:r>
              <w:rPr>
                <w:rFonts w:ascii="Calibri" w:hAnsi="Calibri"/>
                <w:sz w:val="19"/>
              </w:rPr>
              <w:t>UX matrix, contrast automation, screenshot set, pilot sessions</w:t>
            </w:r>
          </w:p>
        </w:tc>
      </w:tr>
      <w:tr>
        <w:tc>
          <w:tcPr>
            <w:tcW w:type="dxa" w:w="650"/>
            <w:tcMar>
              <w:top w:w="80" w:type="dxa"/>
              <w:start w:w="120" w:type="dxa"/>
              <w:bottom w:w="80" w:type="dxa"/>
              <w:end w:w="120" w:type="dxa"/>
            </w:tcMar>
            <w:vAlign w:val="center"/>
          </w:tcPr>
          <w:p>
            <w:r>
              <w:rPr>
                <w:rFonts w:ascii="Calibri" w:hAnsi="Calibri"/>
                <w:sz w:val="19"/>
              </w:rPr>
              <w:t>1</w:t>
            </w:r>
          </w:p>
        </w:tc>
        <w:tc>
          <w:tcPr>
            <w:tcW w:type="dxa" w:w="2500"/>
            <w:tcMar>
              <w:top w:w="80" w:type="dxa"/>
              <w:start w:w="120" w:type="dxa"/>
              <w:bottom w:w="80" w:type="dxa"/>
              <w:end w:w="120" w:type="dxa"/>
            </w:tcMar>
            <w:vAlign w:val="center"/>
          </w:tcPr>
          <w:p>
            <w:r>
              <w:rPr>
                <w:rFonts w:ascii="Calibri" w:hAnsi="Calibri"/>
                <w:sz w:val="19"/>
              </w:rPr>
              <w:t>Readability foundation</w:t>
            </w:r>
          </w:p>
        </w:tc>
        <w:tc>
          <w:tcPr>
            <w:tcW w:type="dxa" w:w="1300"/>
            <w:tcMar>
              <w:top w:w="80" w:type="dxa"/>
              <w:start w:w="120" w:type="dxa"/>
              <w:bottom w:w="80" w:type="dxa"/>
              <w:end w:w="120" w:type="dxa"/>
            </w:tcMar>
            <w:vAlign w:val="center"/>
          </w:tcPr>
          <w:p>
            <w:r>
              <w:rPr>
                <w:rFonts w:ascii="Calibri" w:hAnsi="Calibri"/>
                <w:sz w:val="19"/>
              </w:rPr>
              <w:t>Medium</w:t>
            </w:r>
          </w:p>
        </w:tc>
        <w:tc>
          <w:tcPr>
            <w:tcW w:type="dxa" w:w="4910"/>
            <w:tcMar>
              <w:top w:w="80" w:type="dxa"/>
              <w:start w:w="120" w:type="dxa"/>
              <w:bottom w:w="80" w:type="dxa"/>
              <w:end w:w="120" w:type="dxa"/>
            </w:tcMar>
            <w:vAlign w:val="center"/>
          </w:tcPr>
          <w:p>
            <w:r>
              <w:rPr>
                <w:rFonts w:ascii="Calibri" w:hAnsi="Calibri"/>
                <w:sz w:val="19"/>
              </w:rPr>
              <w:t>Scale/density, responsive shell, focus/navigation, title settings</w:t>
            </w:r>
          </w:p>
        </w:tc>
      </w:tr>
      <w:tr>
        <w:tc>
          <w:tcPr>
            <w:tcW w:type="dxa" w:w="650"/>
            <w:tcMar>
              <w:top w:w="80" w:type="dxa"/>
              <w:start w:w="120" w:type="dxa"/>
              <w:bottom w:w="80" w:type="dxa"/>
              <w:end w:w="120" w:type="dxa"/>
            </w:tcMar>
            <w:vAlign w:val="center"/>
          </w:tcPr>
          <w:p>
            <w:r>
              <w:rPr>
                <w:rFonts w:ascii="Calibri" w:hAnsi="Calibri"/>
                <w:sz w:val="19"/>
              </w:rPr>
              <w:t>2</w:t>
            </w:r>
          </w:p>
        </w:tc>
        <w:tc>
          <w:tcPr>
            <w:tcW w:type="dxa" w:w="2500"/>
            <w:tcMar>
              <w:top w:w="80" w:type="dxa"/>
              <w:start w:w="120" w:type="dxa"/>
              <w:bottom w:w="80" w:type="dxa"/>
              <w:end w:w="120" w:type="dxa"/>
            </w:tcMar>
            <w:vAlign w:val="center"/>
          </w:tcPr>
          <w:p>
            <w:r>
              <w:rPr>
                <w:rFonts w:ascii="Calibri" w:hAnsi="Calibri"/>
                <w:sz w:val="19"/>
              </w:rPr>
              <w:t>First Reign</w:t>
            </w:r>
          </w:p>
        </w:tc>
        <w:tc>
          <w:tcPr>
            <w:tcW w:type="dxa" w:w="1300"/>
            <w:tcMar>
              <w:top w:w="80" w:type="dxa"/>
              <w:start w:w="120" w:type="dxa"/>
              <w:bottom w:w="80" w:type="dxa"/>
              <w:end w:w="120" w:type="dxa"/>
            </w:tcMar>
            <w:vAlign w:val="center"/>
          </w:tcPr>
          <w:p>
            <w:r>
              <w:rPr>
                <w:rFonts w:ascii="Calibri" w:hAnsi="Calibri"/>
                <w:sz w:val="19"/>
              </w:rPr>
              <w:t>Medium</w:t>
            </w:r>
          </w:p>
        </w:tc>
        <w:tc>
          <w:tcPr>
            <w:tcW w:type="dxa" w:w="4910"/>
            <w:tcMar>
              <w:top w:w="80" w:type="dxa"/>
              <w:start w:w="120" w:type="dxa"/>
              <w:bottom w:w="80" w:type="dxa"/>
              <w:end w:w="120" w:type="dxa"/>
            </w:tcMar>
            <w:vAlign w:val="center"/>
          </w:tcPr>
          <w:p>
            <w:r>
              <w:rPr>
                <w:rFonts w:ascii="Calibri" w:hAnsi="Calibri"/>
                <w:sz w:val="19"/>
              </w:rPr>
              <w:t>Data-driven objectives, How/Why help, profile, skip/resume/versioning</w:t>
            </w:r>
          </w:p>
        </w:tc>
      </w:tr>
      <w:tr>
        <w:tc>
          <w:tcPr>
            <w:tcW w:type="dxa" w:w="650"/>
            <w:tcMar>
              <w:top w:w="80" w:type="dxa"/>
              <w:start w:w="120" w:type="dxa"/>
              <w:bottom w:w="80" w:type="dxa"/>
              <w:end w:w="120" w:type="dxa"/>
            </w:tcMar>
            <w:vAlign w:val="center"/>
          </w:tcPr>
          <w:p>
            <w:r>
              <w:rPr>
                <w:rFonts w:ascii="Calibri" w:hAnsi="Calibri"/>
                <w:sz w:val="19"/>
              </w:rPr>
              <w:t>3</w:t>
            </w:r>
          </w:p>
        </w:tc>
        <w:tc>
          <w:tcPr>
            <w:tcW w:type="dxa" w:w="2500"/>
            <w:tcMar>
              <w:top w:w="80" w:type="dxa"/>
              <w:start w:w="120" w:type="dxa"/>
              <w:bottom w:w="80" w:type="dxa"/>
              <w:end w:w="120" w:type="dxa"/>
            </w:tcMar>
            <w:vAlign w:val="center"/>
          </w:tcPr>
          <w:p>
            <w:r>
              <w:rPr>
                <w:rFonts w:ascii="Calibri" w:hAnsi="Calibri"/>
                <w:sz w:val="19"/>
              </w:rPr>
              <w:t>Concept and attention layer</w:t>
            </w:r>
          </w:p>
        </w:tc>
        <w:tc>
          <w:tcPr>
            <w:tcW w:type="dxa" w:w="1300"/>
            <w:tcMar>
              <w:top w:w="80" w:type="dxa"/>
              <w:start w:w="120" w:type="dxa"/>
              <w:bottom w:w="80" w:type="dxa"/>
              <w:end w:w="120" w:type="dxa"/>
            </w:tcMar>
            <w:vAlign w:val="center"/>
          </w:tcPr>
          <w:p>
            <w:r>
              <w:rPr>
                <w:rFonts w:ascii="Calibri" w:hAnsi="Calibri"/>
                <w:sz w:val="19"/>
              </w:rPr>
              <w:t>Medium</w:t>
            </w:r>
          </w:p>
        </w:tc>
        <w:tc>
          <w:tcPr>
            <w:tcW w:type="dxa" w:w="4910"/>
            <w:tcMar>
              <w:top w:w="80" w:type="dxa"/>
              <w:start w:w="120" w:type="dxa"/>
              <w:bottom w:w="80" w:type="dxa"/>
              <w:end w:w="120" w:type="dxa"/>
            </w:tcMar>
            <w:vAlign w:val="center"/>
          </w:tcPr>
          <w:p>
            <w:r>
              <w:rPr>
                <w:rFonts w:ascii="Calibri" w:hAnsi="Calibri"/>
                <w:sz w:val="19"/>
              </w:rPr>
              <w:t>Concept search/links, event severity and channel ownership</w:t>
            </w:r>
          </w:p>
        </w:tc>
      </w:tr>
      <w:tr>
        <w:tc>
          <w:tcPr>
            <w:tcW w:type="dxa" w:w="650"/>
            <w:tcMar>
              <w:top w:w="80" w:type="dxa"/>
              <w:start w:w="120" w:type="dxa"/>
              <w:bottom w:w="80" w:type="dxa"/>
              <w:end w:w="120" w:type="dxa"/>
            </w:tcMar>
            <w:vAlign w:val="center"/>
          </w:tcPr>
          <w:p>
            <w:r>
              <w:rPr>
                <w:rFonts w:ascii="Calibri" w:hAnsi="Calibri"/>
                <w:sz w:val="19"/>
              </w:rPr>
              <w:t>4</w:t>
            </w:r>
          </w:p>
        </w:tc>
        <w:tc>
          <w:tcPr>
            <w:tcW w:type="dxa" w:w="2500"/>
            <w:tcMar>
              <w:top w:w="80" w:type="dxa"/>
              <w:start w:w="120" w:type="dxa"/>
              <w:bottom w:w="80" w:type="dxa"/>
              <w:end w:w="120" w:type="dxa"/>
            </w:tcMar>
            <w:vAlign w:val="center"/>
          </w:tcPr>
          <w:p>
            <w:r>
              <w:rPr>
                <w:rFonts w:ascii="Calibri" w:hAnsi="Calibri"/>
                <w:sz w:val="19"/>
              </w:rPr>
              <w:t>Broader accessibility/polish</w:t>
            </w:r>
          </w:p>
        </w:tc>
        <w:tc>
          <w:tcPr>
            <w:tcW w:type="dxa" w:w="1300"/>
            <w:tcMar>
              <w:top w:w="80" w:type="dxa"/>
              <w:start w:w="120" w:type="dxa"/>
              <w:bottom w:w="80" w:type="dxa"/>
              <w:end w:w="120" w:type="dxa"/>
            </w:tcMar>
            <w:vAlign w:val="center"/>
          </w:tcPr>
          <w:p>
            <w:r>
              <w:rPr>
                <w:rFonts w:ascii="Calibri" w:hAnsi="Calibri"/>
                <w:sz w:val="19"/>
              </w:rPr>
              <w:t>Large / ongoing</w:t>
            </w:r>
          </w:p>
        </w:tc>
        <w:tc>
          <w:tcPr>
            <w:tcW w:type="dxa" w:w="4910"/>
            <w:tcMar>
              <w:top w:w="80" w:type="dxa"/>
              <w:start w:w="120" w:type="dxa"/>
              <w:bottom w:w="80" w:type="dxa"/>
              <w:end w:w="120" w:type="dxa"/>
            </w:tcMar>
            <w:vAlign w:val="center"/>
          </w:tcPr>
          <w:p>
            <w:r>
              <w:rPr>
                <w:rFonts w:ascii="Calibri" w:hAnsi="Calibri"/>
                <w:sz w:val="19"/>
              </w:rPr>
              <w:t>Remapping, controller/AT scope, variants, motion, localisation, art/audio</w:t>
            </w:r>
          </w:p>
        </w:tc>
      </w:tr>
    </w:tbl>
    <w:p>
      <w:pPr>
        <w:pStyle w:val="Heading1"/>
        <w:keepNext/>
      </w:pPr>
      <w:r>
        <w:t>Validation targets</w:t>
      </w:r>
    </w:p>
    <w:p>
      <w:r>
        <w:rPr>
          <w:rFonts w:ascii="Calibri" w:hAnsi="Calibri"/>
        </w:rPr>
        <w:t>These are proposed product targets to refine after baseline testing, not externally established benchmarks.</w:t>
      </w:r>
    </w:p>
    <w:p>
      <w:pPr>
        <w:pStyle w:val="ListBullet"/>
      </w:pPr>
      <w:r>
        <w:rPr>
          <w:rFonts w:ascii="Calibri" w:hAnsi="Calibri"/>
        </w:rPr>
        <w:t>90% of novice participants identify house, head, liege, holdings and resources before first unpause.</w:t>
      </w:r>
    </w:p>
    <w:p>
      <w:pPr>
        <w:pStyle w:val="ListBullet"/>
      </w:pPr>
      <w:r>
        <w:rPr>
          <w:rFonts w:ascii="Calibri" w:hAnsi="Calibri"/>
        </w:rPr>
        <w:t>80% explain the selected assignment's cost, delay, likely outcomes and conditional personal risk in their own words.</w:t>
      </w:r>
    </w:p>
    <w:p>
      <w:pPr>
        <w:pStyle w:val="ListBullet"/>
      </w:pPr>
      <w:r>
        <w:rPr>
          <w:rFonts w:ascii="Calibri" w:hAnsi="Calibri"/>
        </w:rPr>
        <w:t>A novice issues one valid command and finds its consequence without facilitator rescue.</w:t>
      </w:r>
    </w:p>
    <w:p>
      <w:pPr>
        <w:pStyle w:val="ListBullet"/>
      </w:pPr>
      <w:r>
        <w:rPr>
          <w:rFonts w:ascii="Calibri" w:hAnsi="Calibri"/>
        </w:rPr>
        <w:t>An experienced player dismisses the guide in one action and does not see it again unless requested.</w:t>
      </w:r>
    </w:p>
    <w:p>
      <w:pPr>
        <w:pStyle w:val="ListBullet"/>
      </w:pPr>
      <w:r>
        <w:rPr>
          <w:rFonts w:ascii="Calibri" w:hAnsi="Calibri"/>
        </w:rPr>
        <w:t>Every guided step works under normal simulation rules on native and web.</w:t>
      </w:r>
    </w:p>
    <w:p>
      <w:pPr>
        <w:pStyle w:val="ListBullet"/>
      </w:pPr>
      <w:r>
        <w:rPr>
          <w:rFonts w:ascii="Calibri" w:hAnsi="Calibri"/>
        </w:rPr>
        <w:t>No important meaning exists only in colour, hover, animation, audio or a transient toast.</w:t>
      </w:r>
    </w:p>
    <w:p>
      <w:pPr>
        <w:pStyle w:val="ListBullet"/>
      </w:pPr>
      <w:r>
        <w:rPr>
          <w:rFonts w:ascii="Calibri" w:hAnsi="Calibri"/>
        </w:rPr>
        <w:t>At 200% text scale, ordinary UI surfaces retain information and function without clipped text.</w:t>
      </w:r>
    </w:p>
    <w:p>
      <w:r>
        <w:rPr>
          <w:rFonts w:ascii="Calibri" w:hAnsi="Calibri"/>
        </w:rPr>
        <w:t>Instrument the opening with presentation events plus existing command/log evidence: guide enabled or skipped, objective reached, first forecast, leader comparisons, first accepted or refused command, first unpause and first consequence revisited. Keep telemetry opt-in and separate from deterministic state.</w:t>
      </w:r>
    </w:p>
    <w:p>
      <w:pPr>
        <w:pStyle w:val="Heading1"/>
        <w:keepNext/>
      </w:pPr>
      <w:r>
        <w:t>Limitations and confidence</w:t>
      </w:r>
    </w:p>
    <w:p>
      <w:pPr>
        <w:spacing w:before="140" w:after="180"/>
        <w:ind w:left="259" w:right="259"/>
        <w:shd w:fill="E8EEF5"/>
        <w:pBdr>
          <w:left w:val="single" w:sz="20" w:space="8" w:color="1F4D78"/>
        </w:pBdr>
      </w:pPr>
      <w:r>
        <w:rPr>
          <w:rFonts w:ascii="Calibri" w:hAnsi="Calibri"/>
          <w:b/>
          <w:color w:val="1F4D78"/>
          <w:sz w:val="19"/>
        </w:rPr>
        <w:t xml:space="preserve">CONFIDENCE  </w:t>
      </w:r>
      <w:r>
        <w:rPr>
          <w:rFonts w:ascii="Calibri" w:hAnsi="Calibri"/>
          <w:color w:val="1C232E"/>
          <w:sz w:val="21"/>
        </w:rPr>
        <w:t>High on direction and priority ordering; medium on exact dimensions and effort.</w:t>
      </w:r>
    </w:p>
    <w:p>
      <w:r>
        <w:rPr>
          <w:rFonts w:ascii="Calibri" w:hAnsi="Calibri"/>
        </w:rPr>
        <w:t>The research inspected repository code, content and design documents but did not run a live build, capture current gameplay screens or observe players. Egui logical units may map differently across DPI and platform settings. Render and test native and web clients on the supported display matrix before fixing final breakpoints, font sizes or time-to-first-command targets.</w:t>
      </w:r>
    </w:p>
    <w:p>
      <w:r>
        <w:rPr>
          <w:rFonts w:ascii="Calibri" w:hAnsi="Calibri"/>
        </w:rPr>
        <w:t>Research stopped after targeted follow-up because the consequential claims had primary or first-party support, the main recommendations no longer had unresolved contradictions, and additional competitor examples were repeating the same patterns.</w:t>
      </w:r>
    </w:p>
    <w:p>
      <w:pPr>
        <w:pStyle w:val="Heading1"/>
        <w:keepNext/>
      </w:pPr>
      <w:r>
        <w:t>Sources and evidence ledger</w:t>
      </w:r>
    </w:p>
    <w:p>
      <w:r>
        <w:rPr>
          <w:rFonts w:ascii="Calibri" w:hAnsi="Calibri"/>
        </w:rPr>
        <w:t>External evidence is linked below. Local implementation claims were checked against the repository on 31 August 2026.</w:t>
      </w:r>
    </w:p>
    <w:p>
      <w:pPr>
        <w:spacing w:after="140"/>
      </w:pPr>
      <w:hyperlink r:id="rId11">
        <w:r>
          <w:rPr>
            <w:rFonts w:ascii="Calibri" w:hAnsi="Calibri"/>
            <w:color w:val="2E74B5"/>
            <w:u w:val="single"/>
          </w:rPr>
          <w:t>The Impact of Tutorials on Games of Varying Complexity</w:t>
        </w:r>
      </w:hyperlink>
      <w:r>
        <w:rPr>
          <w:rFonts w:ascii="Calibri" w:hAnsi="Calibri"/>
          <w:color w:val="1C232E"/>
          <w:sz w:val="19"/>
        </w:rPr>
        <w:t xml:space="preserve"> - Erik Andersen et al.; ACM CHI 2012. Full paper; 45,000+ players across three games. Transfer to grand strategy is an inference.</w:t>
      </w:r>
    </w:p>
    <w:p>
      <w:pPr>
        <w:spacing w:after="140"/>
      </w:pPr>
      <w:hyperlink r:id="rId12">
        <w:r>
          <w:rPr>
            <w:rFonts w:ascii="Calibri" w:hAnsi="Calibri"/>
            <w:color w:val="2E74B5"/>
            <w:u w:val="single"/>
          </w:rPr>
          <w:t>Victoria 3 Dev Diary #51 - Tutorial</w:t>
        </w:r>
      </w:hyperlink>
      <w:r>
        <w:rPr>
          <w:rFonts w:ascii="Calibri" w:hAnsi="Calibri"/>
          <w:color w:val="1C232E"/>
          <w:sz w:val="19"/>
        </w:rPr>
        <w:t xml:space="preserve"> - Paradox Interactive, 2022. First-party account of reactive challenges, How/Why help and concept-triggered lessons.</w:t>
      </w:r>
    </w:p>
    <w:p>
      <w:pPr>
        <w:spacing w:after="140"/>
      </w:pPr>
      <w:hyperlink r:id="rId22">
        <w:r>
          <w:rPr>
            <w:rFonts w:ascii="Calibri" w:hAnsi="Calibri"/>
            <w:color w:val="2E74B5"/>
            <w:u w:val="single"/>
          </w:rPr>
          <w:t>Victoria 3 Dev Diary #49 - Graphic Overview</w:t>
        </w:r>
      </w:hyperlink>
      <w:r>
        <w:rPr>
          <w:rFonts w:ascii="Calibri" w:hAnsi="Calibri"/>
          <w:color w:val="1C232E"/>
          <w:sz w:val="19"/>
        </w:rPr>
        <w:t xml:space="preserve"> - Paradox Interactive, 2022. First-party art/UX hierarchy account.</w:t>
      </w:r>
    </w:p>
    <w:p>
      <w:pPr>
        <w:spacing w:after="140"/>
      </w:pPr>
      <w:hyperlink r:id="rId16">
        <w:r>
          <w:rPr>
            <w:rFonts w:ascii="Calibri" w:hAnsi="Calibri"/>
            <w:color w:val="2E74B5"/>
            <w:u w:val="single"/>
          </w:rPr>
          <w:t>Victoria 3 Dev Diary #74 - UX Improvements</w:t>
        </w:r>
      </w:hyperlink>
      <w:r>
        <w:rPr>
          <w:rFonts w:ascii="Calibri" w:hAnsi="Calibri"/>
          <w:color w:val="1C232E"/>
          <w:sz w:val="19"/>
        </w:rPr>
        <w:t xml:space="preserve"> - Paradox Interactive, 2023. First-party notification relevance/settings report.</w:t>
      </w:r>
    </w:p>
    <w:p>
      <w:pPr>
        <w:spacing w:after="140"/>
      </w:pPr>
      <w:hyperlink r:id="rId17">
        <w:r>
          <w:rPr>
            <w:rFonts w:ascii="Calibri" w:hAnsi="Calibri"/>
            <w:color w:val="2E74B5"/>
            <w:u w:val="single"/>
          </w:rPr>
          <w:t>Stellaris 3.8 update</w:t>
        </w:r>
      </w:hyperlink>
      <w:r>
        <w:rPr>
          <w:rFonts w:ascii="Calibri" w:hAnsi="Calibri"/>
          <w:color w:val="1C232E"/>
          <w:sz w:val="19"/>
        </w:rPr>
        <w:t xml:space="preserve"> - Paradox Interactive, 2023. First-party account of toasts and configurable message/pausing behaviour.</w:t>
      </w:r>
    </w:p>
    <w:p>
      <w:pPr>
        <w:spacing w:after="140"/>
      </w:pPr>
      <w:hyperlink r:id="rId14">
        <w:r>
          <w:rPr>
            <w:rFonts w:ascii="Calibri" w:hAnsi="Calibri"/>
            <w:color w:val="2E74B5"/>
            <w:u w:val="single"/>
          </w:rPr>
          <w:t>Xbox Accessibility Guideline 101 - Text display</w:t>
        </w:r>
      </w:hyperlink>
      <w:r>
        <w:rPr>
          <w:rFonts w:ascii="Calibri" w:hAnsi="Calibri"/>
          <w:color w:val="1C232E"/>
          <w:sz w:val="19"/>
        </w:rPr>
        <w:t xml:space="preserve"> - Microsoft, current 2026. Game best practice for default text size, scaling and reflow.</w:t>
      </w:r>
    </w:p>
    <w:p>
      <w:pPr>
        <w:spacing w:after="140"/>
      </w:pPr>
      <w:hyperlink r:id="rId13">
        <w:r>
          <w:rPr>
            <w:rFonts w:ascii="Calibri" w:hAnsi="Calibri"/>
            <w:color w:val="2E74B5"/>
            <w:u w:val="single"/>
          </w:rPr>
          <w:t>Xbox Accessibility Guideline 102 - Contrast</w:t>
        </w:r>
      </w:hyperlink>
      <w:r>
        <w:rPr>
          <w:rFonts w:ascii="Calibri" w:hAnsi="Calibri"/>
          <w:color w:val="1C232E"/>
          <w:sz w:val="19"/>
        </w:rPr>
        <w:t xml:space="preserve"> - Microsoft, current 2026. Game best practice for text/UI contrast and configurability.</w:t>
      </w:r>
    </w:p>
    <w:p>
      <w:pPr>
        <w:spacing w:after="140"/>
      </w:pPr>
      <w:hyperlink r:id="rId20">
        <w:r>
          <w:rPr>
            <w:rFonts w:ascii="Calibri" w:hAnsi="Calibri"/>
            <w:color w:val="2E74B5"/>
            <w:u w:val="single"/>
          </w:rPr>
          <w:t>Xbox Accessibility Guideline 112 - UI navigation</w:t>
        </w:r>
      </w:hyperlink>
      <w:r>
        <w:rPr>
          <w:rFonts w:ascii="Calibri" w:hAnsi="Calibri"/>
          <w:color w:val="1C232E"/>
          <w:sz w:val="19"/>
        </w:rPr>
        <w:t xml:space="preserve"> - Microsoft, current 2026. Keyboard/digital navigation and reflow guidance.</w:t>
      </w:r>
    </w:p>
    <w:p>
      <w:pPr>
        <w:spacing w:after="140"/>
      </w:pPr>
      <w:hyperlink r:id="rId21">
        <w:r>
          <w:rPr>
            <w:rFonts w:ascii="Calibri" w:hAnsi="Calibri"/>
            <w:color w:val="2E74B5"/>
            <w:u w:val="single"/>
          </w:rPr>
          <w:t>Xbox Accessibility Guideline 113 - UI focus handling</w:t>
        </w:r>
      </w:hyperlink>
      <w:r>
        <w:rPr>
          <w:rFonts w:ascii="Calibri" w:hAnsi="Calibri"/>
          <w:color w:val="1C232E"/>
          <w:sz w:val="19"/>
        </w:rPr>
        <w:t xml:space="preserve"> - Microsoft, current 2026. Visible, on-screen focus guidance.</w:t>
      </w:r>
    </w:p>
    <w:p>
      <w:pPr>
        <w:spacing w:after="140"/>
      </w:pPr>
      <w:hyperlink r:id="rId15">
        <w:r>
          <w:rPr>
            <w:rFonts w:ascii="Calibri" w:hAnsi="Calibri"/>
            <w:color w:val="2E74B5"/>
            <w:u w:val="single"/>
          </w:rPr>
          <w:t>W3C Understanding 1.4.13 - Content on Hover or Focus</w:t>
        </w:r>
      </w:hyperlink>
      <w:r>
        <w:rPr>
          <w:rFonts w:ascii="Calibri" w:hAnsi="Calibri"/>
          <w:color w:val="1C232E"/>
          <w:sz w:val="19"/>
        </w:rPr>
        <w:t xml:space="preserve"> - W3C WAI, current access 2026. Hover/focus content behaviour.</w:t>
      </w:r>
    </w:p>
    <w:p>
      <w:pPr>
        <w:spacing w:after="140"/>
      </w:pPr>
      <w:hyperlink r:id="rId18">
        <w:r>
          <w:rPr>
            <w:rFonts w:ascii="Calibri" w:hAnsi="Calibri"/>
            <w:color w:val="2E74B5"/>
            <w:u w:val="single"/>
          </w:rPr>
          <w:t>W3C Understanding 2.5.8 - Target Size Minimum</w:t>
        </w:r>
      </w:hyperlink>
      <w:r>
        <w:rPr>
          <w:rFonts w:ascii="Calibri" w:hAnsi="Calibri"/>
          <w:color w:val="1C232E"/>
          <w:sz w:val="19"/>
        </w:rPr>
        <w:t xml:space="preserve"> - W3C WAI, current access 2026. 24 by 24 CSS px Level AA reference.</w:t>
      </w:r>
    </w:p>
    <w:p>
      <w:pPr>
        <w:spacing w:after="140"/>
      </w:pPr>
      <w:hyperlink r:id="rId19">
        <w:r>
          <w:rPr>
            <w:rFonts w:ascii="Calibri" w:hAnsi="Calibri"/>
            <w:color w:val="2E74B5"/>
            <w:u w:val="single"/>
          </w:rPr>
          <w:t>W3C Understanding 2.5.5 - Target Size Enhanced</w:t>
        </w:r>
      </w:hyperlink>
      <w:r>
        <w:rPr>
          <w:rFonts w:ascii="Calibri" w:hAnsi="Calibri"/>
          <w:color w:val="1C232E"/>
          <w:sz w:val="19"/>
        </w:rPr>
        <w:t xml:space="preserve"> - W3C WAI, current access 2026. 44 by 44 CSS px enhanced reference.</w:t>
      </w:r>
    </w:p>
    <w:p>
      <w:pPr>
        <w:pStyle w:val="Heading2"/>
        <w:keepNext/>
      </w:pPr>
      <w:r>
        <w:t>Local repository evidence</w:t>
      </w:r>
    </w:p>
    <w:p>
      <w:pPr>
        <w:pStyle w:val="ListBullet"/>
      </w:pPr>
      <w:r>
        <w:rPr>
          <w:rFonts w:ascii="Calibri" w:hAnsi="Calibri"/>
          <w:b/>
          <w:color w:val="1F4D78"/>
          <w:sz w:val="19"/>
        </w:rPr>
        <w:t>docs/gdd/01-player-experience-campaign-and-onboarding.md</w:t>
      </w:r>
      <w:r>
        <w:rPr>
          <w:rFonts w:ascii="Calibri" w:hAnsi="Calibri"/>
          <w:color w:val="1C232E"/>
          <w:sz w:val="19"/>
        </w:rPr>
        <w:t xml:space="preserve"> - current campaign entry and onboarding proposal</w:t>
      </w:r>
    </w:p>
    <w:p>
      <w:pPr>
        <w:pStyle w:val="ListBullet"/>
      </w:pPr>
      <w:r>
        <w:rPr>
          <w:rFonts w:ascii="Calibri" w:hAnsi="Calibri"/>
          <w:b/>
          <w:color w:val="1F4D78"/>
          <w:sz w:val="19"/>
        </w:rPr>
        <w:t>docs/gdd/07-interface-accessibility-art-audio-and-narrative.md</w:t>
      </w:r>
      <w:r>
        <w:rPr>
          <w:rFonts w:ascii="Calibri" w:hAnsi="Calibri"/>
          <w:color w:val="1C232E"/>
          <w:sz w:val="19"/>
        </w:rPr>
        <w:t xml:space="preserve"> - current presentation, hierarchy and accessibility gaps; inspected read-only while untracked</w:t>
      </w:r>
    </w:p>
    <w:p>
      <w:pPr>
        <w:pStyle w:val="ListBullet"/>
      </w:pPr>
      <w:r>
        <w:rPr>
          <w:rFonts w:ascii="Calibri" w:hAnsi="Calibri"/>
          <w:b/>
          <w:color w:val="1F4D78"/>
          <w:sz w:val="19"/>
        </w:rPr>
        <w:t>crates/aeon_client/assets/theme.ron</w:t>
      </w:r>
      <w:r>
        <w:rPr>
          <w:rFonts w:ascii="Calibri" w:hAnsi="Calibri"/>
          <w:color w:val="1C232E"/>
          <w:sz w:val="19"/>
        </w:rPr>
        <w:t xml:space="preserve"> - typography, spacing, controls, palette and semantic tokens</w:t>
      </w:r>
    </w:p>
    <w:p>
      <w:pPr>
        <w:pStyle w:val="ListBullet"/>
      </w:pPr>
      <w:r>
        <w:rPr>
          <w:rFonts w:ascii="Calibri" w:hAnsi="Calibri"/>
          <w:b/>
          <w:color w:val="1F4D78"/>
          <w:sz w:val="19"/>
        </w:rPr>
        <w:t>crates/aeon_client/src/ui/theme.rs</w:t>
      </w:r>
      <w:r>
        <w:rPr>
          <w:rFonts w:ascii="Calibri" w:hAnsi="Calibri"/>
          <w:color w:val="1C232E"/>
          <w:sz w:val="19"/>
        </w:rPr>
        <w:t xml:space="preserve"> - theme application and invariants</w:t>
      </w:r>
    </w:p>
    <w:p>
      <w:pPr>
        <w:pStyle w:val="ListBullet"/>
      </w:pPr>
      <w:r>
        <w:rPr>
          <w:rFonts w:ascii="Calibri" w:hAnsi="Calibri"/>
          <w:b/>
          <w:color w:val="1F4D78"/>
          <w:sz w:val="19"/>
        </w:rPr>
        <w:t>crates/aeon_client/src/ui/top_bar.rs</w:t>
      </w:r>
      <w:r>
        <w:rPr>
          <w:rFonts w:ascii="Calibri" w:hAnsi="Calibri"/>
          <w:color w:val="1C232E"/>
          <w:sz w:val="19"/>
        </w:rPr>
        <w:t xml:space="preserve"> - persistent controls, icon toggles, search and hidden secondary-click affordance</w:t>
      </w:r>
    </w:p>
    <w:p>
      <w:pPr>
        <w:pStyle w:val="ListBullet"/>
      </w:pPr>
      <w:r>
        <w:rPr>
          <w:rFonts w:ascii="Calibri" w:hAnsi="Calibri"/>
          <w:b/>
          <w:color w:val="1F4D78"/>
          <w:sz w:val="19"/>
        </w:rPr>
        <w:t>crates/aeon_client/src/ui/shell.rs and dock.rs</w:t>
      </w:r>
      <w:r>
        <w:rPr>
          <w:rFonts w:ascii="Calibri" w:hAnsi="Calibri"/>
          <w:color w:val="1C232E"/>
          <w:sz w:val="19"/>
        </w:rPr>
        <w:t xml:space="preserve"> - fixed dock geometry and default layout</w:t>
      </w:r>
    </w:p>
    <w:p>
      <w:pPr>
        <w:pStyle w:val="ListBullet"/>
      </w:pPr>
      <w:r>
        <w:rPr>
          <w:rFonts w:ascii="Calibri" w:hAnsi="Calibri"/>
          <w:b/>
          <w:color w:val="1F4D78"/>
          <w:sz w:val="19"/>
        </w:rPr>
        <w:t>crates/aeon_client/src/ui/actions.rs, forecast.rs and picker.rs</w:t>
      </w:r>
      <w:r>
        <w:rPr>
          <w:rFonts w:ascii="Calibri" w:hAnsi="Calibri"/>
          <w:color w:val="1C232E"/>
          <w:sz w:val="19"/>
        </w:rPr>
        <w:t xml:space="preserve"> - authoritative explanation and comparison flow</w:t>
      </w:r>
    </w:p>
    <w:p>
      <w:pPr>
        <w:pStyle w:val="ListBullet"/>
      </w:pPr>
      <w:r>
        <w:rPr>
          <w:rFonts w:ascii="Calibri" w:hAnsi="Calibri"/>
          <w:b/>
          <w:color w:val="1F4D78"/>
          <w:sz w:val="19"/>
        </w:rPr>
        <w:t>crates/aeon_client/src/sim_driver.rs and selection.rs</w:t>
      </w:r>
      <w:r>
        <w:rPr>
          <w:rFonts w:ascii="Calibri" w:hAnsi="Calibri"/>
          <w:color w:val="1C232E"/>
          <w:sz w:val="19"/>
        </w:rPr>
        <w:t xml:space="preserve"> - current explicit campaign hotkeys</w:t>
      </w:r>
    </w:p>
    <w:p>
      <w:pPr>
        <w:pStyle w:val="ListBullet"/>
      </w:pPr>
      <w:r>
        <w:rPr>
          <w:rFonts w:ascii="Calibri" w:hAnsi="Calibri"/>
          <w:b/>
          <w:color w:val="1F4D78"/>
          <w:sz w:val="19"/>
        </w:rPr>
        <w:t>assets/text/strings.csv</w:t>
      </w:r>
      <w:r>
        <w:rPr>
          <w:rFonts w:ascii="Calibri" w:hAnsi="Calibri"/>
          <w:color w:val="1C232E"/>
          <w:sz w:val="19"/>
        </w:rPr>
        <w:t xml:space="preserve"> - player-facing help and stable text keys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573"/>
        <w:sz w:val="17"/>
      </w:rPr>
      <w:t xml:space="preserve">31 AUGUST 2026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573"/>
        <w:sz w:val="17"/>
      </w:rPr>
      <w:t>LAST AEON  /  UX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C23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color w:val="1C232E"/>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color w:val="1C232E"/>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color w:val="1C232E"/>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ail.cs.washington.edu/projects/game-abtesting/chi2012/chi2012.pdf" TargetMode="External"/><Relationship Id="rId12" Type="http://schemas.openxmlformats.org/officeDocument/2006/relationships/hyperlink" Target="https://www.paradoxinteractive.com/games/victoria-3/news/dev-diary-51-tutorials" TargetMode="External"/><Relationship Id="rId13" Type="http://schemas.openxmlformats.org/officeDocument/2006/relationships/hyperlink" Target="https://learn.microsoft.com/en-us/xbox/accessibility/xbox-accessibility-guidelines/102" TargetMode="External"/><Relationship Id="rId14" Type="http://schemas.openxmlformats.org/officeDocument/2006/relationships/hyperlink" Target="https://learn.microsoft.com/en-us/xbox/accessibility/xbox-accessibility-guidelines/101" TargetMode="External"/><Relationship Id="rId15" Type="http://schemas.openxmlformats.org/officeDocument/2006/relationships/hyperlink" Target="https://www.w3.org/WAI/WCAG21/Understanding/content-on-hover-or-focus" TargetMode="External"/><Relationship Id="rId16" Type="http://schemas.openxmlformats.org/officeDocument/2006/relationships/hyperlink" Target="https://www.paradoxinteractive.com/games/victoria-3/news/dev-diary-74-ux-improvements" TargetMode="External"/><Relationship Id="rId17" Type="http://schemas.openxmlformats.org/officeDocument/2006/relationships/hyperlink" Target="https://www.paradoxinteractive.com/games/stellaris/news/galactic-paragons-available-now" TargetMode="External"/><Relationship Id="rId18" Type="http://schemas.openxmlformats.org/officeDocument/2006/relationships/hyperlink" Target="https://www.w3.org/WAI/WCAG22/Understanding/target-size-minimum" TargetMode="External"/><Relationship Id="rId19" Type="http://schemas.openxmlformats.org/officeDocument/2006/relationships/hyperlink" Target="https://www.w3.org/WAI/WCAG21/Understanding/target-size" TargetMode="External"/><Relationship Id="rId20" Type="http://schemas.openxmlformats.org/officeDocument/2006/relationships/hyperlink" Target="https://learn.microsoft.com/en-us/xbox/accessibility/xbox-accessibility-guidelines/112" TargetMode="External"/><Relationship Id="rId21" Type="http://schemas.openxmlformats.org/officeDocument/2006/relationships/hyperlink" Target="https://learn.microsoft.com/en-us/xbox/accessibility/xbox-accessibility-guidelines/113" TargetMode="External"/><Relationship Id="rId22" Type="http://schemas.openxmlformats.org/officeDocument/2006/relationships/hyperlink" Target="https://www.paradoxinteractive.com/games/victoria-3/news/dev-diary-49-graphic-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Aeon: Grand-Strategy UX Polish and Onboarding</dc:title>
  <dc:subject>Evidence-backed recommendations for readability, usability and first-play onboarding</dc:subject>
  <dc:creator>OpenAI Codex</dc:creator>
  <cp:keywords>Last Aeon, UX, onboarding, accessibility, grand strategy</cp:keywords>
  <dc:description>generated by python-docx</dc:description>
  <cp:lastModifiedBy/>
  <cp:revision>1</cp:revision>
  <dcterms:created xsi:type="dcterms:W3CDTF">2013-12-23T23:15:00Z</dcterms:created>
  <dcterms:modified xsi:type="dcterms:W3CDTF">2013-12-23T23:15:00Z</dcterms:modified>
  <cp:category/>
</cp:coreProperties>
</file>