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4.15pt;height:64.05pt" o:ole="" fillcolor="window">
            <v:imagedata r:id="rId8" o:title=""/>
          </v:shape>
          <o:OLEObject Type="Embed" ProgID="Word.Picture.8" ShapeID="_x0000_i1033" DrawAspect="Content" ObjectID="_1589300677" r:id="rId9"/>
        </w:object>
      </w:r>
    </w:p>
    <w:bookmarkStart w:id="1" w:name="_MON_1039422180"/>
    <w:bookmarkEnd w:id="1"/>
    <w:bookmarkStart w:id="2" w:name="_MON_1039426394"/>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34" type="#_x0000_t75" style="width:190.25pt;height:58.8pt" o:ole="" fillcolor="window">
            <v:imagedata r:id="rId10" o:title=""/>
          </v:shape>
          <o:OLEObject Type="Embed" ProgID="Word.Picture.8" ShapeID="_x0000_i1034" DrawAspect="Content" ObjectID="_1589300678"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523B8399"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数据仓库发展现状</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sdt>
      <w:sdtPr>
        <w:rPr>
          <w:rFonts w:asciiTheme="minorHAnsi" w:eastAsiaTheme="minorEastAsia" w:hAnsiTheme="minorHAnsi" w:cstheme="minorBidi"/>
          <w:b w:val="0"/>
          <w:bCs w:val="0"/>
          <w:color w:val="auto"/>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763B6A">
          <w:pPr>
            <w:pStyle w:val="TOC"/>
            <w:ind w:firstLine="480"/>
            <w:jc w:val="center"/>
            <w:rPr>
              <w:color w:val="000000" w:themeColor="text1"/>
              <w:sz w:val="36"/>
            </w:rPr>
          </w:pPr>
          <w:r w:rsidRPr="00763B6A">
            <w:rPr>
              <w:color w:val="000000" w:themeColor="text1"/>
              <w:sz w:val="36"/>
              <w:lang w:val="zh-CN"/>
            </w:rPr>
            <w:t>目</w:t>
          </w:r>
          <w:r>
            <w:rPr>
              <w:color w:val="000000" w:themeColor="text1"/>
              <w:sz w:val="36"/>
            </w:rPr>
            <w:t xml:space="preserve"> </w:t>
          </w:r>
          <w:r w:rsidRPr="00763B6A">
            <w:rPr>
              <w:color w:val="000000" w:themeColor="text1"/>
              <w:sz w:val="36"/>
              <w:lang w:val="zh-CN"/>
            </w:rPr>
            <w:t>录</w:t>
          </w:r>
        </w:p>
        <w:p w14:paraId="536B7EF8" w14:textId="6583877D" w:rsidR="00D91376" w:rsidRDefault="00763B6A" w:rsidP="00D86603">
          <w:pPr>
            <w:pStyle w:val="11"/>
            <w:spacing w:line="240" w:lineRule="auto"/>
            <w:ind w:firstLineChars="0" w:firstLine="0"/>
            <w:rPr>
              <w:noProof/>
              <w:sz w:val="21"/>
              <w:szCs w:val="22"/>
            </w:rPr>
          </w:pPr>
          <w:r>
            <w:fldChar w:fldCharType="begin"/>
          </w:r>
          <w:r>
            <w:instrText>TOC \o "1-3" \h \z \u</w:instrText>
          </w:r>
          <w:r>
            <w:fldChar w:fldCharType="separate"/>
          </w:r>
          <w:hyperlink w:anchor="_Toc515555783" w:history="1">
            <w:r w:rsidR="00D91376" w:rsidRPr="002732EA">
              <w:rPr>
                <w:rStyle w:val="a6"/>
                <w:noProof/>
              </w:rPr>
              <w:t>第一章</w:t>
            </w:r>
            <w:r w:rsidR="00D91376">
              <w:rPr>
                <w:noProof/>
                <w:sz w:val="21"/>
                <w:szCs w:val="22"/>
              </w:rPr>
              <w:tab/>
            </w:r>
            <w:r w:rsidR="00D91376" w:rsidRPr="002732EA">
              <w:rPr>
                <w:rStyle w:val="a6"/>
                <w:noProof/>
              </w:rPr>
              <w:t>绪论</w:t>
            </w:r>
            <w:r w:rsidR="00D91376">
              <w:rPr>
                <w:noProof/>
                <w:webHidden/>
              </w:rPr>
              <w:tab/>
            </w:r>
            <w:r w:rsidR="00D91376">
              <w:rPr>
                <w:noProof/>
                <w:webHidden/>
              </w:rPr>
              <w:fldChar w:fldCharType="begin"/>
            </w:r>
            <w:r w:rsidR="00D91376">
              <w:rPr>
                <w:noProof/>
                <w:webHidden/>
              </w:rPr>
              <w:instrText xml:space="preserve"> PAGEREF _Toc515555783 \h </w:instrText>
            </w:r>
            <w:r w:rsidR="00D91376">
              <w:rPr>
                <w:noProof/>
                <w:webHidden/>
              </w:rPr>
            </w:r>
            <w:r w:rsidR="00D91376">
              <w:rPr>
                <w:noProof/>
                <w:webHidden/>
              </w:rPr>
              <w:fldChar w:fldCharType="separate"/>
            </w:r>
            <w:r w:rsidR="00D91376">
              <w:rPr>
                <w:noProof/>
                <w:webHidden/>
              </w:rPr>
              <w:t>3</w:t>
            </w:r>
            <w:r w:rsidR="00D91376">
              <w:rPr>
                <w:noProof/>
                <w:webHidden/>
              </w:rPr>
              <w:fldChar w:fldCharType="end"/>
            </w:r>
          </w:hyperlink>
        </w:p>
        <w:p w14:paraId="5DF2E0EF" w14:textId="634F331B" w:rsidR="00D91376" w:rsidRDefault="00D91376" w:rsidP="00D86603">
          <w:pPr>
            <w:pStyle w:val="21"/>
            <w:tabs>
              <w:tab w:val="left" w:pos="960"/>
              <w:tab w:val="right" w:leader="dot" w:pos="8290"/>
            </w:tabs>
            <w:spacing w:line="240" w:lineRule="auto"/>
            <w:ind w:firstLineChars="0" w:firstLine="0"/>
            <w:rPr>
              <w:b w:val="0"/>
              <w:noProof/>
              <w:sz w:val="21"/>
            </w:rPr>
          </w:pPr>
          <w:hyperlink w:anchor="_Toc515555784" w:history="1">
            <w:r w:rsidRPr="002732EA">
              <w:rPr>
                <w:rStyle w:val="a6"/>
                <w:noProof/>
              </w:rPr>
              <w:t>1.1</w:t>
            </w:r>
            <w:r>
              <w:rPr>
                <w:b w:val="0"/>
                <w:noProof/>
                <w:sz w:val="21"/>
              </w:rPr>
              <w:tab/>
            </w:r>
            <w:r w:rsidRPr="002732EA">
              <w:rPr>
                <w:rStyle w:val="a6"/>
                <w:noProof/>
              </w:rPr>
              <w:t>背景介绍</w:t>
            </w:r>
            <w:r>
              <w:rPr>
                <w:noProof/>
                <w:webHidden/>
              </w:rPr>
              <w:tab/>
            </w:r>
            <w:r>
              <w:rPr>
                <w:noProof/>
                <w:webHidden/>
              </w:rPr>
              <w:fldChar w:fldCharType="begin"/>
            </w:r>
            <w:r>
              <w:rPr>
                <w:noProof/>
                <w:webHidden/>
              </w:rPr>
              <w:instrText xml:space="preserve"> PAGEREF _Toc515555784 \h </w:instrText>
            </w:r>
            <w:r>
              <w:rPr>
                <w:noProof/>
                <w:webHidden/>
              </w:rPr>
            </w:r>
            <w:r>
              <w:rPr>
                <w:noProof/>
                <w:webHidden/>
              </w:rPr>
              <w:fldChar w:fldCharType="separate"/>
            </w:r>
            <w:r>
              <w:rPr>
                <w:noProof/>
                <w:webHidden/>
              </w:rPr>
              <w:t>3</w:t>
            </w:r>
            <w:r>
              <w:rPr>
                <w:noProof/>
                <w:webHidden/>
              </w:rPr>
              <w:fldChar w:fldCharType="end"/>
            </w:r>
          </w:hyperlink>
        </w:p>
        <w:p w14:paraId="00D2261E" w14:textId="204A09ED"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72827502" w:rsidR="00F1114F" w:rsidRDefault="00AA45AF" w:rsidP="00E84946">
      <w:pPr>
        <w:pStyle w:val="1"/>
        <w:numPr>
          <w:ilvl w:val="0"/>
          <w:numId w:val="2"/>
        </w:numPr>
        <w:ind w:firstLineChars="0"/>
        <w:jc w:val="center"/>
      </w:pPr>
      <w:bookmarkStart w:id="3" w:name="_Toc515555783"/>
      <w:r>
        <w:rPr>
          <w:rFonts w:hint="eastAsia"/>
        </w:rPr>
        <w:lastRenderedPageBreak/>
        <w:t>绪论</w:t>
      </w:r>
      <w:bookmarkEnd w:id="3"/>
    </w:p>
    <w:p w14:paraId="63C37DF6" w14:textId="42CDF6D1" w:rsidR="006A13F5" w:rsidRPr="006A13F5" w:rsidRDefault="00AA45AF" w:rsidP="00D86603">
      <w:pPr>
        <w:pStyle w:val="2"/>
      </w:pPr>
      <w:bookmarkStart w:id="4" w:name="_Toc515555784"/>
      <w:r>
        <w:t>背景介绍</w:t>
      </w:r>
      <w:bookmarkEnd w:id="4"/>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5" w:name="OLE_LINK1"/>
      <w:bookmarkStart w:id="6" w:name="OLE_LINK2"/>
      <w:r w:rsidR="00F1114F">
        <w:rPr>
          <w:rFonts w:asciiTheme="minorEastAsia" w:hAnsiTheme="minorEastAsia"/>
        </w:rPr>
        <w:t>天文望远镜</w:t>
      </w:r>
      <w:bookmarkEnd w:id="5"/>
      <w:bookmarkEnd w:id="6"/>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D86603">
      <w:pPr>
        <w:pStyle w:val="3"/>
      </w:pPr>
      <w:r>
        <w:rPr>
          <w:rFonts w:hint="eastAsia"/>
        </w:rPr>
        <w:t>诞生</w:t>
      </w:r>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1017774C" w:rsidR="006C17E1" w:rsidRPr="006C17E1" w:rsidRDefault="006C17E1" w:rsidP="006C17E1">
      <w:pPr>
        <w:ind w:firstLine="480"/>
        <w:rPr>
          <w:rFonts w:hint="eastAsia"/>
        </w:rPr>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bookmarkStart w:id="7" w:name="_GoBack"/>
      <w:bookmarkEnd w:id="7"/>
      <w:r w:rsidR="00BA227C">
        <w:rPr>
          <w:rFonts w:hint="eastAsia"/>
        </w:rPr>
        <w:t>。</w:t>
      </w:r>
    </w:p>
    <w:sectPr w:rsidR="006C17E1" w:rsidRPr="006C17E1" w:rsidSect="00C01FD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64BD8" w14:textId="77777777" w:rsidR="005B53E7" w:rsidRDefault="005B53E7" w:rsidP="00AA45AF">
      <w:pPr>
        <w:ind w:firstLine="480"/>
      </w:pPr>
      <w:r>
        <w:separator/>
      </w:r>
    </w:p>
  </w:endnote>
  <w:endnote w:type="continuationSeparator" w:id="0">
    <w:p w14:paraId="00FB374B" w14:textId="77777777" w:rsidR="005B53E7" w:rsidRDefault="005B53E7"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B5E19" w14:textId="77777777" w:rsidR="005B53E7" w:rsidRDefault="005B53E7" w:rsidP="00AA45AF">
      <w:pPr>
        <w:ind w:firstLine="480"/>
      </w:pPr>
      <w:r>
        <w:separator/>
      </w:r>
    </w:p>
  </w:footnote>
  <w:footnote w:type="continuationSeparator" w:id="0">
    <w:p w14:paraId="50B370AE" w14:textId="77777777" w:rsidR="005B53E7" w:rsidRDefault="005B53E7" w:rsidP="00AA45A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1AC0BB6E"/>
    <w:lvl w:ilvl="0">
      <w:start w:val="1"/>
      <w:numFmt w:val="chineseCountingThousand"/>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2B518C"/>
    <w:rsid w:val="00573287"/>
    <w:rsid w:val="005B53E7"/>
    <w:rsid w:val="006052F9"/>
    <w:rsid w:val="006A13F5"/>
    <w:rsid w:val="006C17E1"/>
    <w:rsid w:val="00763B6A"/>
    <w:rsid w:val="00AA45AF"/>
    <w:rsid w:val="00B2071D"/>
    <w:rsid w:val="00B846F1"/>
    <w:rsid w:val="00BA227C"/>
    <w:rsid w:val="00C01FDE"/>
    <w:rsid w:val="00D61939"/>
    <w:rsid w:val="00D86603"/>
    <w:rsid w:val="00D91376"/>
    <w:rsid w:val="00DD4B9D"/>
    <w:rsid w:val="00E46C60"/>
    <w:rsid w:val="00E84946"/>
    <w:rsid w:val="00EB3EC3"/>
    <w:rsid w:val="00EC2EA2"/>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763B6A"/>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763B6A"/>
    <w:rPr>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C6CAC05-7A4F-498A-AA04-B50E4577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Zifan Liu</cp:lastModifiedBy>
  <cp:revision>10</cp:revision>
  <dcterms:created xsi:type="dcterms:W3CDTF">2018-05-29T05:59:00Z</dcterms:created>
  <dcterms:modified xsi:type="dcterms:W3CDTF">2018-05-31T11:38:00Z</dcterms:modified>
</cp:coreProperties>
</file>