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Seedling Initiative: The Project Manager as a Business Consultant in the Context of a Digital Transformation Project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Kate Herrick Capella University IT-FPX 4998: Capstone II Site Supervisor: Angela Baughman November 14, 2025</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 Identity and Fit for the Seedling Initiative Project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My role as the individual driving the </w:t>
      </w:r>
      <w:r>
        <w:rPr>
          <w:rFonts w:ascii="Times Roman" w:hAnsi="Times Roman"/>
          <w:b w:val="1"/>
          <w:bCs w:val="1"/>
          <w:rtl w:val="0"/>
          <w:lang w:val="en-US"/>
        </w:rPr>
        <w:t>Seedling Initiative</w:t>
      </w:r>
      <w:r>
        <w:rPr>
          <w:rFonts w:ascii="Times Roman" w:hAnsi="Times Roman"/>
          <w:rtl w:val="0"/>
          <w:lang w:val="en-US"/>
        </w:rPr>
        <w:t xml:space="preserve"> is defined by one core objective: to transform a critical operational bottleneck (manual balance sheet processing) into strategic value through technology, while simultaneously ensuring that the resulting solution is successfully adopted by the client-shareholders. This project represents more than technical delivery; it is an organizational change effort focused on efficiency, data integrity, and cost savings, all predicated on behavioral change. Professionally, I have functioned as both a Senior Business Analyst and Project Manager for over twenty-five years, specializing in the complex intersection of IT execution, process automation, and financial/regulatory compliance.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Relevant Work Experience:</w:t>
      </w:r>
      <w:r>
        <w:rPr>
          <w:rFonts w:ascii="Times Roman" w:hAnsi="Times Roman"/>
          <w:rtl w:val="0"/>
          <w:lang w:val="en-US"/>
        </w:rPr>
        <w:t xml:space="preserve"> My career has been dominated by leading large-scale system integration and process automation projects, including extensive work in the financial services sector where data accuracy and audit trails are paramount. This background is directly relevant to Greenfield Financial, where the core technical challenge is integrating client inputs from a new digital portal into Salesforce, validating the data against business rules, and ultimately transmitting the final balance sheet data via an ETL data pipeline to the AgriBank core system. My deep understanding of data integration, </w:t>
      </w:r>
      <w:r>
        <w:rPr>
          <w:rFonts w:ascii="Times Roman" w:hAnsi="Times Roman"/>
          <w:b w:val="1"/>
          <w:bCs w:val="1"/>
          <w:rtl w:val="0"/>
          <w:lang w:val="en-US"/>
        </w:rPr>
        <w:t>Single Source of Truth (SSOT)</w:t>
      </w:r>
      <w:r>
        <w:rPr>
          <w:rFonts w:ascii="Times Roman" w:hAnsi="Times Roman"/>
          <w:rtl w:val="0"/>
          <w:lang w:val="en-US"/>
        </w:rPr>
        <w:t xml:space="preserve"> architecture, and the necessity of automated quality validation (as outlined in Assessment 2) prepares me to effectively manage the technical complexity of the delivery. My experience extends to managing the required Legal and Compliance Gateways necessary for sensitive financial data, ensuring the solution is robust and auditable from day one.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Core Philosophy: The Necessity of Consulting:</w:t>
      </w:r>
      <w:r>
        <w:rPr>
          <w:rFonts w:ascii="Times Roman" w:hAnsi="Times Roman"/>
          <w:rtl w:val="0"/>
          <w:lang w:val="en-US"/>
        </w:rPr>
        <w:t xml:space="preserve"> I operate with the firm belief that technology is not a panacea. The project manager</w:t>
      </w:r>
      <w:r>
        <w:rPr>
          <w:rFonts w:ascii="Times Roman" w:hAnsi="Times Roman" w:hint="default"/>
          <w:rtl w:val="1"/>
        </w:rPr>
        <w:t>’</w:t>
      </w:r>
      <w:r>
        <w:rPr>
          <w:rFonts w:ascii="Times Roman" w:hAnsi="Times Roman"/>
          <w:rtl w:val="0"/>
          <w:lang w:val="en-US"/>
        </w:rPr>
        <w:t xml:space="preserve">s responsibility extends beyond simply delivering a functional system; it requires serving as a </w:t>
      </w:r>
      <w:r>
        <w:rPr>
          <w:rFonts w:ascii="Times Roman" w:hAnsi="Times Roman"/>
          <w:b w:val="1"/>
          <w:bCs w:val="1"/>
          <w:rtl w:val="0"/>
          <w:lang w:val="en-US"/>
        </w:rPr>
        <w:t>business consultant</w:t>
      </w:r>
      <w:r>
        <w:rPr>
          <w:rFonts w:ascii="Times Roman" w:hAnsi="Times Roman"/>
          <w:rtl w:val="0"/>
          <w:lang w:val="en-US"/>
        </w:rPr>
        <w:t xml:space="preserve"> who influences adoption strategies and ensures the technology is supported by improved people and processes. If the client portal adoption numbers do not increase, the deliverables will go unused, resulting in wasted investment and necessitating the continuation of costly, labor-intensive manual processes.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II. Self-Reflection: The Evolution from IT Resource to Business Consultant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w:t>
      </w:r>
      <w:r>
        <w:rPr>
          <w:rFonts w:ascii="Times Roman" w:hAnsi="Times Roman"/>
          <w:b w:val="1"/>
          <w:bCs w:val="1"/>
          <w:rtl w:val="0"/>
          <w:lang w:val="en-US"/>
        </w:rPr>
        <w:t>Seedling Initiative</w:t>
      </w:r>
      <w:r>
        <w:rPr>
          <w:rFonts w:ascii="Times Roman" w:hAnsi="Times Roman"/>
          <w:rtl w:val="0"/>
          <w:lang w:val="en-US"/>
        </w:rPr>
        <w:t xml:space="preserve"> presents a pivotal moment for my professional development, demanding that I transition from a traditional focus on </w:t>
      </w:r>
      <w:r>
        <w:rPr>
          <w:rFonts w:ascii="Times Roman" w:hAnsi="Times Roman"/>
          <w:b w:val="1"/>
          <w:bCs w:val="1"/>
          <w:rtl w:val="0"/>
          <w:lang w:val="en-US"/>
        </w:rPr>
        <w:t>project management and technical delivery</w:t>
      </w:r>
      <w:r>
        <w:rPr>
          <w:rFonts w:ascii="Times Roman" w:hAnsi="Times Roman"/>
          <w:rtl w:val="0"/>
          <w:lang w:val="en-US"/>
        </w:rPr>
        <w:t xml:space="preserve"> to an expanded role as a </w:t>
      </w:r>
      <w:r>
        <w:rPr>
          <w:rFonts w:ascii="Times Roman" w:hAnsi="Times Roman"/>
          <w:b w:val="1"/>
          <w:bCs w:val="1"/>
          <w:rtl w:val="0"/>
          <w:lang w:val="en-US"/>
        </w:rPr>
        <w:t>strategic business consultant</w:t>
      </w:r>
      <w:r>
        <w:rPr>
          <w:rFonts w:ascii="Times Roman" w:hAnsi="Times Roman"/>
          <w:rtl w:val="0"/>
        </w:rPr>
        <w:t>.</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The Imperative to Influence Client Adoption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project's primary strategic goal</w:t>
      </w:r>
      <w:r>
        <w:rPr>
          <w:rFonts w:ascii="Times Roman" w:hAnsi="Times Roman" w:hint="default"/>
          <w:rtl w:val="0"/>
          <w:lang w:val="en-US"/>
        </w:rPr>
        <w:t>—</w:t>
      </w:r>
      <w:r>
        <w:rPr>
          <w:rFonts w:ascii="Times Roman" w:hAnsi="Times Roman"/>
          <w:rtl w:val="0"/>
          <w:lang w:val="en-US"/>
        </w:rPr>
        <w:t>achieving operational efficiency and cost savings by eliminating millions of dollars in transcription labor</w:t>
      </w:r>
      <w:r>
        <w:rPr>
          <w:rFonts w:ascii="Times Roman" w:hAnsi="Times Roman" w:hint="default"/>
          <w:rtl w:val="0"/>
          <w:lang w:val="en-US"/>
        </w:rPr>
        <w:t>—</w:t>
      </w:r>
      <w:r>
        <w:rPr>
          <w:rFonts w:ascii="Times Roman" w:hAnsi="Times Roman"/>
          <w:rtl w:val="0"/>
          <w:lang w:val="en-US"/>
        </w:rPr>
        <w:t>is entirely dependent on client-shareholders adopting the new digital balance sheet submission functionality. It is incumbent on the project team to influence the decision to carry the project forward by making the case that client portal adoption needs to improve to make the solution fully viable. If adoption stalls, the solution risks becoming "just a new shiny thing" without the critical mass of users required to deliver the anticipated ROI.</w:t>
      </w: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Development Theme: Cultivating Business Acumen and Consulting Influence</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0"/>
          <w:bCs w:val="0"/>
          <w:rtl w:val="0"/>
          <w:lang w:val="en-US"/>
        </w:rPr>
        <w:t xml:space="preserve">My professional development during this capstone project will focus on the following theme: </w:t>
      </w:r>
      <w:r>
        <w:rPr>
          <w:rFonts w:ascii="Times Roman" w:hAnsi="Times Roman"/>
          <w:b w:val="1"/>
          <w:bCs w:val="1"/>
          <w:rtl w:val="0"/>
          <w:lang w:val="en-US"/>
        </w:rPr>
        <w:t>Striving to develop business acumen alongside the development of relationships so that project resources serve not only as information technology resources, but as consultants who connect IT solutions directly to high-level organizational performance metrics.</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35"/>
        <w:gridCol w:w="8025"/>
      </w:tblGrid>
      <w:tr>
        <w:tblPrEx>
          <w:shd w:val="clear" w:color="auto" w:fill="auto"/>
        </w:tblPrEx>
        <w:trPr>
          <w:trHeight w:val="567" w:hRule="atLeast"/>
        </w:trPr>
        <w:tc>
          <w:tcPr>
            <w:tcW w:type="dxa" w:w="13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pPr>
            <w:r>
              <w:rPr>
                <w:rFonts w:ascii="Times Roman" w:hAnsi="Times Roman"/>
                <w:b w:val="1"/>
                <w:bCs w:val="1"/>
                <w:sz w:val="24"/>
                <w:szCs w:val="24"/>
                <w:rtl w:val="0"/>
              </w:rPr>
              <w:t>Consulting Discipline</w:t>
            </w:r>
          </w:p>
        </w:tc>
        <w:tc>
          <w:tcPr>
            <w:tcW w:type="dxa" w:w="8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pPr>
            <w:r>
              <w:rPr>
                <w:rFonts w:ascii="Times Roman" w:hAnsi="Times Roman"/>
                <w:b w:val="1"/>
                <w:bCs w:val="1"/>
                <w:sz w:val="24"/>
                <w:szCs w:val="24"/>
                <w:rtl w:val="0"/>
              </w:rPr>
              <w:t>Development Focus in Seedling Initiative Context</w:t>
            </w:r>
          </w:p>
        </w:tc>
      </w:tr>
      <w:tr>
        <w:tblPrEx>
          <w:shd w:val="clear" w:color="auto" w:fill="auto"/>
        </w:tblPrEx>
        <w:trPr>
          <w:trHeight w:val="847" w:hRule="atLeast"/>
        </w:trPr>
        <w:tc>
          <w:tcPr>
            <w:tcW w:type="dxa" w:w="13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rPr>
              <w:t>Organizational Performance Alignment</w:t>
            </w:r>
          </w:p>
        </w:tc>
        <w:tc>
          <w:tcPr>
            <w:tcW w:type="dxa" w:w="8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pPr>
            <w:r>
              <w:rPr>
                <w:rFonts w:ascii="Times Roman" w:hAnsi="Times Roman"/>
                <w:sz w:val="24"/>
                <w:szCs w:val="24"/>
                <w:rtl w:val="0"/>
                <w:lang w:val="en-US"/>
              </w:rPr>
              <w:t xml:space="preserve">Leveraging line-of-sight into performance metrics (e.g., historical client portal adoption rates, cost of transcription labor, January staffing overtime) to clearly articulate the ROI case for </w:t>
            </w:r>
            <w:r>
              <w:rPr>
                <w:rFonts w:ascii="Times Roman" w:hAnsi="Times Roman"/>
                <w:b w:val="1"/>
                <w:bCs w:val="1"/>
                <w:sz w:val="24"/>
                <w:szCs w:val="24"/>
                <w:rtl w:val="0"/>
                <w:lang w:val="en-US"/>
              </w:rPr>
              <w:t>Seedling</w:t>
            </w:r>
            <w:r>
              <w:rPr>
                <w:rFonts w:ascii="Times Roman" w:hAnsi="Times Roman" w:hint="default"/>
                <w:b w:val="1"/>
                <w:bCs w:val="1"/>
                <w:sz w:val="24"/>
                <w:szCs w:val="24"/>
                <w:rtl w:val="1"/>
              </w:rPr>
              <w:t>’</w:t>
            </w:r>
            <w:r>
              <w:rPr>
                <w:rFonts w:ascii="Times Roman" w:hAnsi="Times Roman"/>
                <w:b w:val="1"/>
                <w:bCs w:val="1"/>
                <w:sz w:val="24"/>
                <w:szCs w:val="24"/>
                <w:rtl w:val="0"/>
              </w:rPr>
              <w:t>s</w:t>
            </w:r>
            <w:r>
              <w:rPr>
                <w:rFonts w:ascii="Times Roman" w:hAnsi="Times Roman"/>
                <w:sz w:val="24"/>
                <w:szCs w:val="24"/>
                <w:rtl w:val="0"/>
                <w:lang w:val="en-US"/>
              </w:rPr>
              <w:t xml:space="preserve"> long-term viability. This frames IT spend as a strategic business decision.</w:t>
            </w:r>
          </w:p>
        </w:tc>
      </w:tr>
      <w:tr>
        <w:tblPrEx>
          <w:shd w:val="clear" w:color="auto" w:fill="auto"/>
        </w:tblPrEx>
        <w:trPr>
          <w:trHeight w:val="847" w:hRule="atLeast"/>
        </w:trPr>
        <w:tc>
          <w:tcPr>
            <w:tcW w:type="dxa" w:w="13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rPr>
              <w:t>Influencing Change Strategy</w:t>
            </w:r>
          </w:p>
        </w:tc>
        <w:tc>
          <w:tcPr>
            <w:tcW w:type="dxa" w:w="8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pPr>
            <w:r>
              <w:rPr>
                <w:rFonts w:ascii="Times Roman" w:hAnsi="Times Roman"/>
                <w:sz w:val="24"/>
                <w:szCs w:val="24"/>
                <w:rtl w:val="0"/>
                <w:lang w:val="en-US"/>
              </w:rPr>
              <w:t xml:space="preserve">Proactively consulting with the Executive Sponsor (Kara Long) to shift focus from technical completion to </w:t>
            </w:r>
            <w:r>
              <w:rPr>
                <w:rFonts w:ascii="Times Roman" w:hAnsi="Times Roman"/>
                <w:b w:val="1"/>
                <w:bCs w:val="1"/>
                <w:sz w:val="24"/>
                <w:szCs w:val="24"/>
                <w:rtl w:val="0"/>
                <w:lang w:val="en-US"/>
              </w:rPr>
              <w:t>organizational readiness and behavioral change management</w:t>
            </w:r>
            <w:r>
              <w:rPr>
                <w:rFonts w:ascii="Times Roman" w:hAnsi="Times Roman"/>
                <w:sz w:val="24"/>
                <w:szCs w:val="24"/>
                <w:rtl w:val="0"/>
                <w:lang w:val="en-US"/>
              </w:rPr>
              <w:t>. This involves ensuring the project budget and scope includes dedicated marketing and support resources to drive client adoption.</w:t>
            </w:r>
          </w:p>
        </w:tc>
      </w:tr>
      <w:tr>
        <w:tblPrEx>
          <w:shd w:val="clear" w:color="auto" w:fill="auto"/>
        </w:tblPrEx>
        <w:trPr>
          <w:trHeight w:val="847" w:hRule="atLeast"/>
        </w:trPr>
        <w:tc>
          <w:tcPr>
            <w:tcW w:type="dxa" w:w="133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rPr>
              <w:t>Process Enhancement and People Engagement</w:t>
            </w:r>
          </w:p>
        </w:tc>
        <w:tc>
          <w:tcPr>
            <w:tcW w:type="dxa" w:w="802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pPr>
            <w:r>
              <w:rPr>
                <w:rFonts w:ascii="Times Roman" w:hAnsi="Times Roman"/>
                <w:sz w:val="24"/>
                <w:szCs w:val="24"/>
                <w:rtl w:val="0"/>
                <w:lang w:val="en-US"/>
              </w:rPr>
              <w:t xml:space="preserve">Working with the Site Supervisor and Business Analyst to design streamlined internal processes that not only use the technology but also significantly improve the </w:t>
            </w:r>
            <w:r>
              <w:rPr>
                <w:rFonts w:ascii="Times Roman" w:hAnsi="Times Roman"/>
                <w:b w:val="1"/>
                <w:bCs w:val="1"/>
                <w:sz w:val="24"/>
                <w:szCs w:val="24"/>
                <w:rtl w:val="0"/>
                <w:lang w:val="en-US"/>
              </w:rPr>
              <w:t>employee experience</w:t>
            </w:r>
            <w:r>
              <w:rPr>
                <w:rFonts w:ascii="Times Roman" w:hAnsi="Times Roman"/>
                <w:sz w:val="24"/>
                <w:szCs w:val="24"/>
                <w:rtl w:val="0"/>
                <w:lang w:val="en-US"/>
              </w:rPr>
              <w:t>. This internal adoption is critical, as engaged employees are the best advocates for client engagement.</w:t>
            </w:r>
          </w:p>
        </w:tc>
      </w:tr>
    </w:tbl>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III. SWOT Analysis in the Context of Business Consulting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following SWOT analysis evaluates my ability to fulfill this expanded role as a strategic business consultant within the context of the </w:t>
      </w:r>
      <w:r>
        <w:rPr>
          <w:rFonts w:ascii="Times Roman" w:hAnsi="Times Roman"/>
          <w:b w:val="1"/>
          <w:bCs w:val="1"/>
          <w:rtl w:val="0"/>
          <w:lang w:val="en-US"/>
        </w:rPr>
        <w:t>Seedling Initiative</w:t>
      </w:r>
      <w:r>
        <w:rPr>
          <w:rFonts w:ascii="Times Roman" w:hAnsi="Times Roman"/>
          <w:rtl w:val="0"/>
        </w:rPr>
        <w:t>.</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00"/>
        <w:gridCol w:w="8460"/>
      </w:tblGrid>
      <w:tr>
        <w:tblPrEx>
          <w:shd w:val="clear" w:color="auto" w:fill="auto"/>
        </w:tblPrEx>
        <w:trPr>
          <w:trHeight w:val="360" w:hRule="atLeast"/>
        </w:trPr>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pPr>
            <w:r>
              <w:rPr>
                <w:rFonts w:ascii="Times Roman" w:hAnsi="Times Roman"/>
                <w:b w:val="1"/>
                <w:bCs w:val="1"/>
                <w:sz w:val="24"/>
                <w:szCs w:val="24"/>
                <w:rtl w:val="0"/>
              </w:rPr>
              <w:t>Category</w:t>
            </w:r>
          </w:p>
        </w:tc>
        <w:tc>
          <w:tcPr>
            <w:tcW w:type="dxa" w:w="84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jc w:val="center"/>
            </w:pPr>
            <w:r>
              <w:rPr>
                <w:rFonts w:ascii="Times Roman" w:hAnsi="Times Roman"/>
                <w:b w:val="1"/>
                <w:bCs w:val="1"/>
                <w:sz w:val="24"/>
                <w:szCs w:val="24"/>
                <w:rtl w:val="0"/>
              </w:rPr>
              <w:t>Assessment</w:t>
            </w:r>
          </w:p>
        </w:tc>
      </w:tr>
      <w:tr>
        <w:tblPrEx>
          <w:shd w:val="clear" w:color="auto" w:fill="auto"/>
        </w:tblPrEx>
        <w:trPr>
          <w:trHeight w:val="1687" w:hRule="atLeast"/>
        </w:trPr>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rPr>
              <w:t>Strengths</w:t>
            </w:r>
          </w:p>
        </w:tc>
        <w:tc>
          <w:tcPr>
            <w:tcW w:type="dxa" w:w="84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lang w:val="en-US"/>
              </w:rPr>
              <w:t>Deep Business Acumen and Financial Sector Experience:</w:t>
            </w:r>
            <w:r>
              <w:rPr>
                <w:rFonts w:ascii="Times Roman" w:hAnsi="Times Roman"/>
                <w:sz w:val="24"/>
                <w:szCs w:val="24"/>
                <w:rtl w:val="0"/>
                <w:lang w:val="en-US"/>
              </w:rPr>
              <w:t xml:space="preserve"> Twenty-five years of experience in regulated industries, granting an intrinsic understanding of the compliance, audit, and financial metrics that drive executive decision-making. This enables me to speak the C-suite</w:t>
            </w:r>
            <w:r>
              <w:rPr>
                <w:rFonts w:ascii="Times Roman" w:hAnsi="Times Roman" w:hint="default"/>
                <w:sz w:val="24"/>
                <w:szCs w:val="24"/>
                <w:rtl w:val="1"/>
              </w:rPr>
              <w:t>’</w:t>
            </w:r>
            <w:r>
              <w:rPr>
                <w:rFonts w:ascii="Times Roman" w:hAnsi="Times Roman"/>
                <w:sz w:val="24"/>
                <w:szCs w:val="24"/>
                <w:rtl w:val="0"/>
                <w:lang w:val="en-US"/>
              </w:rPr>
              <w:t xml:space="preserve">s language when justifying the project. </w:t>
            </w:r>
            <w:r>
              <w:rPr>
                <w:rFonts w:ascii="Times Roman" w:hAnsi="Times Roman"/>
                <w:b w:val="1"/>
                <w:bCs w:val="1"/>
                <w:sz w:val="24"/>
                <w:szCs w:val="24"/>
                <w:rtl w:val="0"/>
                <w:lang w:val="en-US"/>
              </w:rPr>
              <w:t>Data Expertise and Integration Proficiency:</w:t>
            </w:r>
            <w:r>
              <w:rPr>
                <w:rFonts w:ascii="Times Roman" w:hAnsi="Times Roman"/>
                <w:sz w:val="24"/>
                <w:szCs w:val="24"/>
                <w:rtl w:val="0"/>
                <w:lang w:val="en-US"/>
              </w:rPr>
              <w:t xml:space="preserve"> Proven capability to translate complex data integration and ETL requirements into business value, directly supporting the project's technical core (SSOT architecture). This provides credibility when discussing technical feasibility. </w:t>
            </w:r>
            <w:r>
              <w:rPr>
                <w:rFonts w:ascii="Times Roman" w:hAnsi="Times Roman"/>
                <w:b w:val="1"/>
                <w:bCs w:val="1"/>
                <w:sz w:val="24"/>
                <w:szCs w:val="24"/>
                <w:rtl w:val="0"/>
                <w:lang w:val="en-US"/>
              </w:rPr>
              <w:t>Relationship-Driven Management:</w:t>
            </w:r>
            <w:r>
              <w:rPr>
                <w:rFonts w:ascii="Times Roman" w:hAnsi="Times Roman"/>
                <w:sz w:val="24"/>
                <w:szCs w:val="24"/>
                <w:rtl w:val="0"/>
                <w:lang w:val="en-US"/>
              </w:rPr>
              <w:t xml:space="preserve"> Ability to rapidly develop trust and credibility across IT, Business, and Operations teams, which is essential for influencing cross-functional strategy required to promote adoption.</w:t>
            </w:r>
          </w:p>
        </w:tc>
      </w:tr>
      <w:tr>
        <w:tblPrEx>
          <w:shd w:val="clear" w:color="auto" w:fill="auto"/>
        </w:tblPrEx>
        <w:trPr>
          <w:trHeight w:val="1407" w:hRule="atLeast"/>
        </w:trPr>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rPr>
              <w:t>Weaknesses</w:t>
            </w:r>
          </w:p>
        </w:tc>
        <w:tc>
          <w:tcPr>
            <w:tcW w:type="dxa" w:w="84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lang w:val="en-US"/>
              </w:rPr>
              <w:t>Perceived Technical Bias:</w:t>
            </w:r>
            <w:r>
              <w:rPr>
                <w:rFonts w:ascii="Times Roman" w:hAnsi="Times Roman"/>
                <w:sz w:val="24"/>
                <w:szCs w:val="24"/>
                <w:rtl w:val="0"/>
                <w:lang w:val="en-US"/>
              </w:rPr>
              <w:t xml:space="preserve"> A natural tendency to focus on the technical integrity and structure (the </w:t>
            </w:r>
            <w:r>
              <w:rPr>
                <w:rFonts w:ascii="Times Roman" w:hAnsi="Times Roman"/>
                <w:i w:val="1"/>
                <w:iCs w:val="1"/>
                <w:sz w:val="24"/>
                <w:szCs w:val="24"/>
                <w:rtl w:val="0"/>
              </w:rPr>
              <w:t>how</w:t>
            </w:r>
            <w:r>
              <w:rPr>
                <w:rFonts w:ascii="Times Roman" w:hAnsi="Times Roman"/>
                <w:sz w:val="24"/>
                <w:szCs w:val="24"/>
                <w:rtl w:val="0"/>
                <w:lang w:val="en-US"/>
              </w:rPr>
              <w:t xml:space="preserve">and </w:t>
            </w:r>
            <w:r>
              <w:rPr>
                <w:rFonts w:ascii="Times Roman" w:hAnsi="Times Roman"/>
                <w:i w:val="1"/>
                <w:iCs w:val="1"/>
                <w:sz w:val="24"/>
                <w:szCs w:val="24"/>
                <w:rtl w:val="0"/>
                <w:lang w:val="en-US"/>
              </w:rPr>
              <w:t>when</w:t>
            </w:r>
            <w:r>
              <w:rPr>
                <w:rFonts w:ascii="Times Roman" w:hAnsi="Times Roman"/>
                <w:sz w:val="24"/>
                <w:szCs w:val="24"/>
                <w:rtl w:val="0"/>
                <w:lang w:val="en-US"/>
              </w:rPr>
              <w:t xml:space="preserve"> of delivery) before the change management and adoption strategy (the </w:t>
            </w:r>
            <w:r>
              <w:rPr>
                <w:rFonts w:ascii="Times Roman" w:hAnsi="Times Roman"/>
                <w:i w:val="1"/>
                <w:iCs w:val="1"/>
                <w:sz w:val="24"/>
                <w:szCs w:val="24"/>
                <w:rtl w:val="0"/>
                <w:lang w:val="en-US"/>
              </w:rPr>
              <w:t>people</w:t>
            </w:r>
            <w:r>
              <w:rPr>
                <w:rFonts w:ascii="Times Roman" w:hAnsi="Times Roman"/>
                <w:sz w:val="24"/>
                <w:szCs w:val="24"/>
                <w:rtl w:val="0"/>
                <w:lang w:val="en-US"/>
              </w:rPr>
              <w:t xml:space="preserve"> and </w:t>
            </w:r>
            <w:r>
              <w:rPr>
                <w:rFonts w:ascii="Times Roman" w:hAnsi="Times Roman"/>
                <w:i w:val="1"/>
                <w:iCs w:val="1"/>
                <w:sz w:val="24"/>
                <w:szCs w:val="24"/>
                <w:rtl w:val="0"/>
                <w:lang w:val="en-US"/>
              </w:rPr>
              <w:t>why</w:t>
            </w:r>
            <w:r>
              <w:rPr>
                <w:rFonts w:ascii="Times Roman" w:hAnsi="Times Roman"/>
                <w:sz w:val="24"/>
                <w:szCs w:val="24"/>
                <w:rtl w:val="0"/>
                <w:lang w:val="en-US"/>
              </w:rPr>
              <w:t xml:space="preserve">). This can lead to a perception that I prioritize risk mitigation over aggressive business transformation. </w:t>
            </w:r>
            <w:r>
              <w:rPr>
                <w:rFonts w:ascii="Times Roman" w:hAnsi="Times Roman"/>
                <w:b w:val="1"/>
                <w:bCs w:val="1"/>
                <w:sz w:val="24"/>
                <w:szCs w:val="24"/>
                <w:rtl w:val="0"/>
                <w:lang w:val="en-US"/>
              </w:rPr>
              <w:t>Limited Experience in Client-Facing Marketing:</w:t>
            </w:r>
            <w:r>
              <w:rPr>
                <w:rFonts w:ascii="Times Roman" w:hAnsi="Times Roman"/>
                <w:sz w:val="24"/>
                <w:szCs w:val="24"/>
                <w:rtl w:val="0"/>
                <w:lang w:val="en-US"/>
              </w:rPr>
              <w:t xml:space="preserve"> My background centers on internal IT project delivery, not external client marketing or communication strategies. Actively consulting on the client adoption plan requires stepping outside my traditional comfort zone and relying heavily on the expertise of the Client Financial Services Director.</w:t>
            </w:r>
          </w:p>
        </w:tc>
      </w:tr>
      <w:tr>
        <w:tblPrEx>
          <w:shd w:val="clear" w:color="auto" w:fill="auto"/>
        </w:tblPrEx>
        <w:trPr>
          <w:trHeight w:val="1687" w:hRule="atLeast"/>
        </w:trPr>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rPr>
              <w:t>Opportunities</w:t>
            </w:r>
          </w:p>
        </w:tc>
        <w:tc>
          <w:tcPr>
            <w:tcW w:type="dxa" w:w="84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lang w:val="en-US"/>
              </w:rPr>
              <w:t>Strategic Visibility:</w:t>
            </w:r>
            <w:r>
              <w:rPr>
                <w:rFonts w:ascii="Times Roman" w:hAnsi="Times Roman"/>
                <w:sz w:val="24"/>
                <w:szCs w:val="24"/>
                <w:rtl w:val="0"/>
                <w:lang w:val="en-US"/>
              </w:rPr>
              <w:t xml:space="preserve"> The </w:t>
            </w:r>
            <w:r>
              <w:rPr>
                <w:rFonts w:ascii="Times Roman" w:hAnsi="Times Roman"/>
                <w:b w:val="1"/>
                <w:bCs w:val="1"/>
                <w:sz w:val="24"/>
                <w:szCs w:val="24"/>
                <w:rtl w:val="0"/>
                <w:lang w:val="en-US"/>
              </w:rPr>
              <w:t>Seedling</w:t>
            </w:r>
            <w:r>
              <w:rPr>
                <w:rFonts w:ascii="Times Roman" w:hAnsi="Times Roman"/>
                <w:sz w:val="24"/>
                <w:szCs w:val="24"/>
                <w:rtl w:val="0"/>
                <w:lang w:val="en-US"/>
              </w:rPr>
              <w:t xml:space="preserve"> project's direct and measurable impact on operational cost savings provides a clear opportunity to present to the Executive Sponsor not just as a PM, but as a consultant framing the project's success in terms of </w:t>
            </w:r>
            <w:r>
              <w:rPr>
                <w:rFonts w:ascii="Times Roman" w:hAnsi="Times Roman"/>
                <w:b w:val="1"/>
                <w:bCs w:val="1"/>
                <w:sz w:val="24"/>
                <w:szCs w:val="24"/>
                <w:rtl w:val="0"/>
                <w:lang w:val="en-US"/>
              </w:rPr>
              <w:t>Return on Investment (ROI)</w:t>
            </w:r>
            <w:r>
              <w:rPr>
                <w:rFonts w:ascii="Times Roman" w:hAnsi="Times Roman"/>
                <w:sz w:val="24"/>
                <w:szCs w:val="24"/>
                <w:rtl w:val="0"/>
                <w:lang w:val="en-US"/>
              </w:rPr>
              <w:t xml:space="preserve"> and future competitive agility. </w:t>
            </w:r>
            <w:r>
              <w:rPr>
                <w:rFonts w:ascii="Times Roman" w:hAnsi="Times Roman"/>
                <w:b w:val="1"/>
                <w:bCs w:val="1"/>
                <w:sz w:val="24"/>
                <w:szCs w:val="24"/>
                <w:rtl w:val="0"/>
                <w:lang w:val="en-US"/>
              </w:rPr>
              <w:t>Executive Partnership:</w:t>
            </w:r>
            <w:r>
              <w:rPr>
                <w:rFonts w:ascii="Times Roman" w:hAnsi="Times Roman"/>
                <w:sz w:val="24"/>
                <w:szCs w:val="24"/>
                <w:rtl w:val="0"/>
                <w:lang w:val="en-US"/>
              </w:rPr>
              <w:t xml:space="preserve"> The mandate to solve the labor transcription problem is high-priority. This urgency creates an environment where executive leadership is receptive to the necessary strategic consulting needed to ensure project completion delivers maximum value. </w:t>
            </w:r>
            <w:r>
              <w:rPr>
                <w:rFonts w:ascii="Times Roman" w:hAnsi="Times Roman"/>
                <w:b w:val="1"/>
                <w:bCs w:val="1"/>
                <w:sz w:val="24"/>
                <w:szCs w:val="24"/>
                <w:rtl w:val="0"/>
                <w:lang w:val="en-US"/>
              </w:rPr>
              <w:t>Mentorship:</w:t>
            </w:r>
            <w:r>
              <w:rPr>
                <w:rFonts w:ascii="Times Roman" w:hAnsi="Times Roman"/>
                <w:sz w:val="24"/>
                <w:szCs w:val="24"/>
                <w:rtl w:val="0"/>
                <w:lang w:val="en-US"/>
              </w:rPr>
              <w:t xml:space="preserve"> The Site Supervisor, Angela Baughman, is a Product Manager. Leveraging her expertise provides a direct path to strengthening the product-thinking mindset required for consulting and superior client experience management.</w:t>
            </w:r>
          </w:p>
        </w:tc>
      </w:tr>
      <w:tr>
        <w:tblPrEx>
          <w:shd w:val="clear" w:color="auto" w:fill="auto"/>
        </w:tblPrEx>
        <w:trPr>
          <w:trHeight w:val="1407" w:hRule="atLeast"/>
        </w:trPr>
        <w:tc>
          <w:tcPr>
            <w:tcW w:type="dxa" w:w="9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rPr>
              <w:t>Threats</w:t>
            </w:r>
          </w:p>
        </w:tc>
        <w:tc>
          <w:tcPr>
            <w:tcW w:type="dxa" w:w="845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suppressAutoHyphens w:val="1"/>
              <w:spacing w:after="240"/>
            </w:pPr>
            <w:r>
              <w:rPr>
                <w:rFonts w:ascii="Times Roman" w:hAnsi="Times Roman"/>
                <w:b w:val="1"/>
                <w:bCs w:val="1"/>
                <w:sz w:val="24"/>
                <w:szCs w:val="24"/>
                <w:rtl w:val="0"/>
                <w:lang w:val="en-US"/>
              </w:rPr>
              <w:t>Organizational and Client Inertia:</w:t>
            </w:r>
            <w:r>
              <w:rPr>
                <w:rFonts w:ascii="Times Roman" w:hAnsi="Times Roman"/>
                <w:sz w:val="24"/>
                <w:szCs w:val="24"/>
                <w:rtl w:val="0"/>
                <w:lang w:val="en-US"/>
              </w:rPr>
              <w:t xml:space="preserve"> The long-standing manual, paper-based process creates entrenched behaviors in both clients (mailing a form) and internal staff (manually transcribing data) that actively resist digital change. Without top-down change leadership, the project's key success metric (client adoption) may not be achieved. </w:t>
            </w:r>
            <w:r>
              <w:rPr>
                <w:rFonts w:ascii="Times Roman" w:hAnsi="Times Roman"/>
                <w:b w:val="1"/>
                <w:bCs w:val="1"/>
                <w:sz w:val="24"/>
                <w:szCs w:val="24"/>
                <w:rtl w:val="0"/>
              </w:rPr>
              <w:t>Internal Stakeholder Fatigue:</w:t>
            </w:r>
            <w:r>
              <w:rPr>
                <w:rFonts w:ascii="Times Roman" w:hAnsi="Times Roman"/>
                <w:sz w:val="24"/>
                <w:szCs w:val="24"/>
                <w:rtl w:val="0"/>
                <w:lang w:val="en-US"/>
              </w:rPr>
              <w:t xml:space="preserve"> Greenfield Financial is likely managing multiple internal transformation efforts. Competing priorities may drain resources necessary for training, quality assurance, and, most critically, dedicated marketing and client communications needed to drive adoption.</w:t>
            </w:r>
          </w:p>
        </w:tc>
      </w:tr>
    </w:tbl>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IV. Critical Risks Affecting Project Success and the Consultant's Role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While the technical complexity of the ETL pipeline is managed through meticulous planning and design, the greatest risks to the </w:t>
      </w:r>
      <w:r>
        <w:rPr>
          <w:rFonts w:ascii="Times Roman" w:hAnsi="Times Roman"/>
          <w:b w:val="1"/>
          <w:bCs w:val="1"/>
          <w:rtl w:val="0"/>
          <w:lang w:val="en-US"/>
        </w:rPr>
        <w:t>Seedling Initiative's</w:t>
      </w:r>
      <w:r>
        <w:rPr>
          <w:rFonts w:ascii="Times Roman" w:hAnsi="Times Roman"/>
          <w:rtl w:val="0"/>
          <w:lang w:val="en-US"/>
        </w:rPr>
        <w:t xml:space="preserve"> success are organizational and behavioral. These threats require the project manager to step into the consulting role to secure buy-in for non-technical mitigation efforts.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Dependency on Client Portal Adoption:</w:t>
      </w:r>
      <w:r>
        <w:rPr>
          <w:rFonts w:ascii="Times Roman" w:hAnsi="Times Roman"/>
          <w:rtl w:val="0"/>
          <w:lang w:val="en-US"/>
        </w:rPr>
        <w:t xml:space="preserve"> The primary risk is the failure to meet targeted client portal adoption numbers. If 50% of clients continue to mail in paper balance sheets, the labor cost savings will be halved, and the value proposition of the project is significantly compromised. </w:t>
      </w:r>
      <w:r>
        <w:rPr>
          <w:rFonts w:ascii="Times Roman" w:hAnsi="Times Roman"/>
          <w:b w:val="1"/>
          <w:bCs w:val="1"/>
          <w:rtl w:val="0"/>
          <w:lang w:val="en-US"/>
        </w:rPr>
        <w:t>Consulting Action:</w:t>
      </w:r>
      <w:r>
        <w:rPr>
          <w:rFonts w:ascii="Times Roman" w:hAnsi="Times Roman"/>
          <w:rtl w:val="0"/>
          <w:lang w:val="en-US"/>
        </w:rPr>
        <w:t xml:space="preserve"> My personal responsibility is to secure high-level management buy-in for the necessary </w:t>
      </w:r>
      <w:r>
        <w:rPr>
          <w:rFonts w:ascii="Times Roman" w:hAnsi="Times Roman"/>
          <w:b w:val="1"/>
          <w:bCs w:val="1"/>
          <w:rtl w:val="0"/>
          <w:lang w:val="en-US"/>
        </w:rPr>
        <w:t>change agents</w:t>
      </w:r>
      <w:r>
        <w:rPr>
          <w:rFonts w:ascii="Times Roman" w:hAnsi="Times Roman"/>
          <w:rtl w:val="0"/>
          <w:lang w:val="en-US"/>
        </w:rPr>
        <w:t xml:space="preserve"> (e.g., Client Service teams, Marketing) and ensure the scope is redefined to include measurable milestones for adoption campaigns, treating client adoption as a project deliverable itself.</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Legacy System Resource Bandwidth:</w:t>
      </w:r>
      <w:r>
        <w:rPr>
          <w:rFonts w:ascii="Times Roman" w:hAnsi="Times Roman"/>
          <w:rtl w:val="0"/>
          <w:lang w:val="en-US"/>
        </w:rPr>
        <w:t xml:space="preserve"> The successful integration relies on subject matter expert (SME) resources within AgriBank and the teams that own and manage the existing SQL databases. There is a distinct possibility that IT may not be able to tap those resources during the development lifecycle due to competing internal projects. If the SMEs are unable to dedicate adequate time to defining the data transformation rules and validating the end-to-end data flow, the integrity of the real-time SSOT will be compromised. </w:t>
      </w:r>
      <w:r>
        <w:rPr>
          <w:rFonts w:ascii="Times Roman" w:hAnsi="Times Roman"/>
          <w:b w:val="1"/>
          <w:bCs w:val="1"/>
          <w:rtl w:val="0"/>
          <w:lang w:val="en-US"/>
        </w:rPr>
        <w:t>Consulting Action:</w:t>
      </w:r>
      <w:r>
        <w:rPr>
          <w:rFonts w:ascii="Times Roman" w:hAnsi="Times Roman"/>
          <w:rtl w:val="0"/>
          <w:lang w:val="en-US"/>
        </w:rPr>
        <w:t xml:space="preserve"> In my role as project manager, I must serve as an internal advocate and consultant to secure high-level management agreement for dedicated SME time, implementing a robust coordination and risk management strategy to foster a collaborative partnership with the legacy system owners and preemptively address resource contention.</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Organizational Compliance Gateways:</w:t>
      </w:r>
      <w:r>
        <w:rPr>
          <w:rFonts w:ascii="Times Roman" w:hAnsi="Times Roman"/>
          <w:rtl w:val="0"/>
          <w:lang w:val="en-US"/>
        </w:rPr>
        <w:t xml:space="preserve"> As this project deals with sensitive financial data, the internal Legal and Compliance Gateways are mandatory. Any unexpected friction or scope creep during these formal review processes could lead to significant schedule delays. </w:t>
      </w:r>
      <w:r>
        <w:rPr>
          <w:rFonts w:ascii="Times Roman" w:hAnsi="Times Roman"/>
          <w:b w:val="1"/>
          <w:bCs w:val="1"/>
          <w:rtl w:val="0"/>
          <w:lang w:val="en-US"/>
        </w:rPr>
        <w:t>Consulting Action:</w:t>
      </w:r>
      <w:r>
        <w:rPr>
          <w:rFonts w:ascii="Times Roman" w:hAnsi="Times Roman"/>
          <w:rtl w:val="0"/>
          <w:lang w:val="en-US"/>
        </w:rPr>
        <w:t xml:space="preserve"> I must proactively engage Legal and Compliance early in the requirements phase to ensure no surprises emerge later. By framing the project's governance structure as a safeguard for regulatory integrity and brand reputation, I can proactively streamline the approval process rather than viewing the gateway as a simple roadblock.</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it-IT"/>
        </w:rPr>
        <w:t>Conclusion</w:t>
      </w:r>
    </w:p>
    <w:p>
      <w:pPr>
        <w:pStyle w:val="Default"/>
        <w:suppressAutoHyphens w:val="1"/>
        <w:spacing w:before="0" w:after="240" w:line="240" w:lineRule="auto"/>
      </w:pPr>
      <w:r>
        <w:rPr>
          <w:rFonts w:ascii="Times Roman" w:hAnsi="Times Roman"/>
          <w:rtl w:val="0"/>
          <w:lang w:val="en-US"/>
        </w:rPr>
        <w:t xml:space="preserve">The </w:t>
      </w:r>
      <w:r>
        <w:rPr>
          <w:rFonts w:ascii="Times Roman" w:hAnsi="Times Roman"/>
          <w:b w:val="1"/>
          <w:bCs w:val="1"/>
          <w:rtl w:val="0"/>
          <w:lang w:val="en-US"/>
        </w:rPr>
        <w:t>Seedling Initiative</w:t>
      </w:r>
      <w:r>
        <w:rPr>
          <w:rFonts w:ascii="Times Roman" w:hAnsi="Times Roman"/>
          <w:rtl w:val="0"/>
          <w:lang w:val="en-US"/>
        </w:rPr>
        <w:t xml:space="preserve"> demands a project manager who understands that delivering on technology is only the first step. The true value lies in driving the organizational and behavioral changes required for successful adoption. By consciously evolving from a process-focused IT resource into a strategic </w:t>
      </w:r>
      <w:r>
        <w:rPr>
          <w:rFonts w:ascii="Times Roman" w:hAnsi="Times Roman"/>
          <w:b w:val="1"/>
          <w:bCs w:val="1"/>
          <w:rtl w:val="0"/>
          <w:lang w:val="en-US"/>
        </w:rPr>
        <w:t>business consultant</w:t>
      </w:r>
      <w:r>
        <w:rPr>
          <w:rFonts w:ascii="Times Roman" w:hAnsi="Times Roman"/>
          <w:rtl w:val="0"/>
          <w:lang w:val="en-US"/>
        </w:rPr>
        <w:t xml:space="preserve">, I can leverage my deep technical and financial acumen to proactively influence client adoption strategies, secure necessary resources for change management, and ensure that the </w:t>
      </w:r>
      <w:r>
        <w:rPr>
          <w:rFonts w:ascii="Times Roman" w:hAnsi="Times Roman"/>
          <w:b w:val="1"/>
          <w:bCs w:val="1"/>
          <w:rtl w:val="0"/>
          <w:lang w:val="en-US"/>
        </w:rPr>
        <w:t>Seedling Initiative</w:t>
      </w:r>
      <w:r>
        <w:rPr>
          <w:rFonts w:ascii="Times Roman" w:hAnsi="Times Roman"/>
          <w:rtl w:val="0"/>
          <w:lang w:val="en-US"/>
        </w:rPr>
        <w:t xml:space="preserve"> successfully cultivates operational efficiency and delivers maximum strategic value for Greenfield Financial.</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