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The Seedling Initiative: The Project Manager as a Business Consultant in the Context of a Digital Transformation Project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Kate Herrick Capella University IT-FPX 4998: Capstone II Site Supervisor: Angela Baughman November 14, 2025</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I. Identity and Fit for the Seedling Initiative Project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My role as the individual driving the </w:t>
      </w:r>
      <w:r>
        <w:rPr>
          <w:rFonts w:ascii="Times Roman" w:hAnsi="Times Roman"/>
          <w:b w:val="1"/>
          <w:bCs w:val="1"/>
          <w:rtl w:val="0"/>
          <w:lang w:val="en-US"/>
        </w:rPr>
        <w:t>Seedling Initiative</w:t>
      </w:r>
      <w:r>
        <w:rPr>
          <w:rFonts w:ascii="Times Roman" w:hAnsi="Times Roman"/>
          <w:rtl w:val="0"/>
          <w:lang w:val="en-US"/>
        </w:rPr>
        <w:t xml:space="preserve"> is defined by one core objective: to transform a critical operational bottleneck (manual balance sheet processing) into strategic value through technology, while simultaneously ensuring that the resulting solution is successfully adopted by the client-shareholders. This project represents more than technical delivery; it is an organizational change effort focused on efficiency, data integrity, and cost savings, all predicated on behavioral change. Professionally, I have functioned as both a Senior Business Analyst and Project Manager for over twenty-five years, specializing in the complex intersection of IT execution, process automation, and financial/regulatory compliance.</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Relevant Work Experience:</w:t>
      </w:r>
      <w:r>
        <w:rPr>
          <w:rFonts w:ascii="Times Roman" w:hAnsi="Times Roman"/>
          <w:rtl w:val="0"/>
          <w:lang w:val="en-US"/>
        </w:rPr>
        <w:t xml:space="preserve"> My career has been dominated by leading large-scale system integration and process automation projects, including extensive work in the financial services sector where data accuracy and audit trails are paramount. This background is directly relevant to Greenfield Financial, where the core technical challenge is integrating client inputs from a new digital portal into Salesforce, validating the data against business rules, and ultimately transmitting the final balance sheet data via an ETL data pipeline to the AgriBank core system. My deep understanding of data integration, </w:t>
      </w:r>
      <w:r>
        <w:rPr>
          <w:rFonts w:ascii="Times Roman" w:hAnsi="Times Roman"/>
          <w:b w:val="1"/>
          <w:bCs w:val="1"/>
          <w:rtl w:val="0"/>
          <w:lang w:val="en-US"/>
        </w:rPr>
        <w:t>Single Source of Truth (SSOT)</w:t>
      </w:r>
      <w:r>
        <w:rPr>
          <w:rFonts w:ascii="Times Roman" w:hAnsi="Times Roman"/>
          <w:rtl w:val="0"/>
          <w:lang w:val="en-US"/>
        </w:rPr>
        <w:t xml:space="preserve"> architecture, and the necessity of automated quality validation (as outlined in Assessment 2) prepares me to effectively manage the technical complexity of the delivery. My experience extends to managing the required Legal and Compliance Gateways necessary for sensitive financial data, ensuring the solution is robust and auditable from day one.</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Core Philosophy: The Necessity of Consulting:</w:t>
      </w:r>
      <w:r>
        <w:rPr>
          <w:rFonts w:ascii="Times Roman" w:hAnsi="Times Roman"/>
          <w:rtl w:val="0"/>
          <w:lang w:val="en-US"/>
        </w:rPr>
        <w:t xml:space="preserve"> I operate with the firm belief that technology is not a panacea. The project manager</w:t>
      </w:r>
      <w:r>
        <w:rPr>
          <w:rFonts w:ascii="Times Roman" w:hAnsi="Times Roman" w:hint="default"/>
          <w:rtl w:val="0"/>
          <w:lang w:val="en-US"/>
        </w:rPr>
        <w:t>’</w:t>
      </w:r>
      <w:r>
        <w:rPr>
          <w:rFonts w:ascii="Times Roman" w:hAnsi="Times Roman"/>
          <w:rtl w:val="0"/>
          <w:lang w:val="en-US"/>
        </w:rPr>
        <w:t xml:space="preserve">s responsibility extends beyond simply delivering a functional system; it requires serving as a </w:t>
      </w:r>
      <w:r>
        <w:rPr>
          <w:rFonts w:ascii="Times Roman" w:hAnsi="Times Roman"/>
          <w:b w:val="1"/>
          <w:bCs w:val="1"/>
          <w:rtl w:val="0"/>
          <w:lang w:val="en-US"/>
        </w:rPr>
        <w:t>business consultant</w:t>
      </w:r>
      <w:r>
        <w:rPr>
          <w:rFonts w:ascii="Times Roman" w:hAnsi="Times Roman"/>
          <w:rtl w:val="0"/>
          <w:lang w:val="en-US"/>
        </w:rPr>
        <w:t xml:space="preserve"> who influences adoption strategies and ensures the technology is supported by improved people and processes. If the client portal adoption numbers do not increase, the deliverables will go unused, resulting in wasted investment and necessitating the continuation of costly, labor-intensive manual processes.</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II. Self-Reflection: The Evolution from IT Resource to Business Consultant</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Seedling Initiative</w:t>
      </w:r>
      <w:r>
        <w:rPr>
          <w:rFonts w:ascii="Times Roman" w:hAnsi="Times Roman"/>
          <w:rtl w:val="0"/>
          <w:lang w:val="en-US"/>
        </w:rPr>
        <w:t xml:space="preserve"> presents a pivotal moment for my professional development, demanding that I transition from a traditional focus on </w:t>
      </w:r>
      <w:r>
        <w:rPr>
          <w:rFonts w:ascii="Times Roman" w:hAnsi="Times Roman"/>
          <w:b w:val="1"/>
          <w:bCs w:val="1"/>
          <w:rtl w:val="0"/>
          <w:lang w:val="en-US"/>
        </w:rPr>
        <w:t>project management and technical delivery</w:t>
      </w:r>
      <w:r>
        <w:rPr>
          <w:rFonts w:ascii="Times Roman" w:hAnsi="Times Roman"/>
          <w:rtl w:val="0"/>
          <w:lang w:val="en-US"/>
        </w:rPr>
        <w:t xml:space="preserve"> to an expanded role as a </w:t>
      </w:r>
      <w:r>
        <w:rPr>
          <w:rFonts w:ascii="Times Roman" w:hAnsi="Times Roman"/>
          <w:b w:val="1"/>
          <w:bCs w:val="1"/>
          <w:rtl w:val="0"/>
          <w:lang w:val="en-US"/>
        </w:rPr>
        <w:t>strategic business consultant</w:t>
      </w:r>
      <w:r>
        <w:rPr>
          <w:rFonts w:ascii="Times Roman" w:hAnsi="Times Roman"/>
          <w:rtl w:val="0"/>
          <w:lang w:val="en-US"/>
        </w:rPr>
        <w: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The Imperative to Influence Client Adoption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The project's primary strategic goal</w:t>
      </w:r>
      <w:r>
        <w:rPr>
          <w:rFonts w:ascii="Times Roman" w:hAnsi="Times Roman" w:hint="default"/>
          <w:rtl w:val="0"/>
          <w:lang w:val="en-US"/>
        </w:rPr>
        <w:t>—</w:t>
      </w:r>
      <w:r>
        <w:rPr>
          <w:rFonts w:ascii="Times Roman" w:hAnsi="Times Roman"/>
          <w:rtl w:val="0"/>
          <w:lang w:val="en-US"/>
        </w:rPr>
        <w:t>achieving operational efficiency and cost savings by eliminating millions of dollars in transcription labor</w:t>
      </w:r>
      <w:r>
        <w:rPr>
          <w:rFonts w:ascii="Times Roman" w:hAnsi="Times Roman" w:hint="default"/>
          <w:rtl w:val="0"/>
          <w:lang w:val="en-US"/>
        </w:rPr>
        <w:t>—</w:t>
      </w:r>
      <w:r>
        <w:rPr>
          <w:rFonts w:ascii="Times Roman" w:hAnsi="Times Roman"/>
          <w:rtl w:val="0"/>
          <w:lang w:val="en-US"/>
        </w:rPr>
        <w:t>is entirely dependent on client-shareholders adopting the new digital balance sheet submission functionality. It is incumbent on the project team to influence the decision to carry the project forward by making the case that client portal adoption needs to improve to make the solution fully viable. If adoption stalls, the solution risks becoming "just a new shiny thing" without the critical mass of users required to deliver the anticipated ROI.</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Development Theme: Cultivating Business Acumen and Consulting Influence</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0"/>
          <w:bCs w:val="0"/>
          <w:rtl w:val="0"/>
          <w:lang w:val="en-US"/>
        </w:rPr>
        <w:t xml:space="preserve">My professional development during this capstone project will focus on the following theme: </w:t>
      </w:r>
      <w:r>
        <w:rPr>
          <w:rFonts w:ascii="Times Roman" w:hAnsi="Times Roman"/>
          <w:b w:val="1"/>
          <w:bCs w:val="1"/>
          <w:rtl w:val="0"/>
          <w:lang w:val="en-US"/>
        </w:rPr>
        <w:t>Striving to develop business acumen alongside the development of relationships so that project resources serve not only as information technology resources, but as consultants who connect IT solutions directly to high-level organizational performance metrics.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335"/>
        <w:gridCol w:w="8025"/>
      </w:tblGrid>
      <w:tr>
        <w:tblPrEx>
          <w:shd w:val="clear" w:color="auto" w:fill="cadfff"/>
        </w:tblPrEx>
        <w:trPr>
          <w:trHeight w:val="580" w:hRule="atLeast"/>
        </w:trPr>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Consulting Discipline</w:t>
            </w:r>
          </w:p>
        </w:tc>
        <w:tc>
          <w:tcPr>
            <w:tcW w:type="dxa" w:w="80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Development Focus in Seedling Initiative Context</w:t>
            </w:r>
          </w:p>
        </w:tc>
      </w:tr>
      <w:tr>
        <w:tblPrEx>
          <w:shd w:val="clear" w:color="auto" w:fill="cadfff"/>
        </w:tblPrEx>
        <w:trPr>
          <w:trHeight w:val="860" w:hRule="atLeast"/>
        </w:trPr>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Organizational Performance Alignment</w:t>
            </w:r>
          </w:p>
        </w:tc>
        <w:tc>
          <w:tcPr>
            <w:tcW w:type="dxa" w:w="80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Leveraging line-of-sight into performance metrics (e.g., historical client portal adoption rates, cost of transcription labor, January staffing overtime) to clearly articulate the ROI case for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Seedling</w:t>
            </w:r>
            <w:r>
              <w:rPr>
                <w:rFonts w:ascii="Times Roman" w:cs="Arial Unicode MS" w:hAnsi="Times Roman" w:eastAsia="Arial Unicode MS" w:hint="default"/>
                <w:b w:val="1"/>
                <w:bCs w:val="1"/>
                <w:i w:val="0"/>
                <w:iCs w:val="0"/>
                <w:caps w:val="0"/>
                <w:smallCaps w:val="0"/>
                <w:strike w:val="0"/>
                <w:dstrike w:val="0"/>
                <w:outline w:val="0"/>
                <w:color w:val="000000"/>
                <w:spacing w:val="0"/>
                <w:kern w:val="0"/>
                <w:position w:val="0"/>
                <w:sz w:val="24"/>
                <w:szCs w:val="24"/>
                <w:u w:val="none"/>
                <w:shd w:val="nil" w:color="auto" w:fill="auto"/>
                <w:vertAlign w:val="baseline"/>
                <w:rtl w:val="1"/>
                <w14:textOutline w14:w="12700" w14:cap="flat">
                  <w14:noFill/>
                  <w14:miter w14:lim="400000"/>
                </w14:textOutline>
                <w14:textFill>
                  <w14:solidFill>
                    <w14:srgbClr w14:val="000000"/>
                  </w14:solidFill>
                </w14:textFill>
              </w:rPr>
              <w:t>’</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long-term viability. This frames IT spend as a strategic business decision.</w:t>
            </w:r>
          </w:p>
        </w:tc>
      </w:tr>
      <w:tr>
        <w:tblPrEx>
          <w:shd w:val="clear" w:color="auto" w:fill="cadfff"/>
        </w:tblPrEx>
        <w:trPr>
          <w:trHeight w:val="860" w:hRule="atLeast"/>
        </w:trPr>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Influencing Change Strategy</w:t>
            </w:r>
          </w:p>
        </w:tc>
        <w:tc>
          <w:tcPr>
            <w:tcW w:type="dxa" w:w="80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Proactively consulting with the Executive Sponsor (Kara Long) to shift focus from technical completion to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organizational readiness and behavioral change management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This involves ensuring the project budget and scope includes dedicated marketing and support resources to drive client adoption.</w:t>
            </w:r>
          </w:p>
        </w:tc>
      </w:tr>
      <w:tr>
        <w:tblPrEx>
          <w:shd w:val="clear" w:color="auto" w:fill="cadfff"/>
        </w:tblPrEx>
        <w:trPr>
          <w:trHeight w:val="860" w:hRule="atLeast"/>
        </w:trPr>
        <w:tc>
          <w:tcPr>
            <w:tcW w:type="dxa" w:w="1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Process Enhancement and People Engagement</w:t>
            </w:r>
          </w:p>
        </w:tc>
        <w:tc>
          <w:tcPr>
            <w:tcW w:type="dxa" w:w="80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Working with the Site Supervisor and Business Analyst to design streamlined internal processes that not only use the technology but also significantly improve the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employee experience</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This internal adoption is critical, as engaged employees are the best advocates for client engagement.</w:t>
            </w:r>
          </w:p>
        </w:tc>
      </w:tr>
    </w:tbl>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III. SWOT Analysis in the Context of Business Consulting</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The following SWOT analysis evaluates my ability to fulfill this expanded role as a strategic business consultant within the context of the </w:t>
      </w:r>
      <w:r>
        <w:rPr>
          <w:rFonts w:ascii="Times Roman" w:hAnsi="Times Roman"/>
          <w:b w:val="1"/>
          <w:bCs w:val="1"/>
          <w:rtl w:val="0"/>
          <w:lang w:val="en-US"/>
        </w:rPr>
        <w:t>Seedling Initiative</w:t>
      </w:r>
      <w:r>
        <w:rPr>
          <w:rFonts w:ascii="Times Roman" w:hAnsi="Times Roman"/>
          <w:rtl w:val="0"/>
          <w:lang w:val="en-US"/>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00"/>
        <w:gridCol w:w="8460"/>
      </w:tblGrid>
      <w:tr>
        <w:tblPrEx>
          <w:shd w:val="clear" w:color="auto" w:fill="cadfff"/>
        </w:tblPrEx>
        <w:trPr>
          <w:trHeight w:val="409" w:hRule="atLeast"/>
        </w:trPr>
        <w:tc>
          <w:tcPr>
            <w:tcW w:type="dxa" w:w="9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Category</w:t>
            </w:r>
          </w:p>
        </w:tc>
        <w:tc>
          <w:tcPr>
            <w:tcW w:type="dxa" w:w="84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Assessment</w:t>
            </w:r>
          </w:p>
        </w:tc>
      </w:tr>
      <w:tr>
        <w:tblPrEx>
          <w:shd w:val="clear" w:color="auto" w:fill="cadfff"/>
        </w:tblPrEx>
        <w:trPr>
          <w:trHeight w:val="1700" w:hRule="atLeast"/>
        </w:trPr>
        <w:tc>
          <w:tcPr>
            <w:tcW w:type="dxa" w:w="9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Strengths</w:t>
            </w:r>
          </w:p>
        </w:tc>
        <w:tc>
          <w:tcPr>
            <w:tcW w:type="dxa" w:w="84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Deep Business Acumen and Financial Sector Experience:</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Twenty-five years of experience in regulated industries, granting an intrinsic understanding of the compliance, audit, and financial metrics that drive executive decision-making. This enables me to speak the C-suite</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1"/>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s language when justifying the project.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Data Expertise and Integration Proficiency:</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Proven capability to translate complex data integration and ETL requirements into business value, directly supporting the project's technical core (SSOT architecture). This provides credibility when discussing technical feasibility.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Relationship-Driven Management: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Ability to rapidly develop trust and credibility across IT, Business, and Operations teams, which is essential for influencing cross-functional strategy required to promote adoption.</w:t>
            </w:r>
          </w:p>
        </w:tc>
      </w:tr>
      <w:tr>
        <w:tblPrEx>
          <w:shd w:val="clear" w:color="auto" w:fill="cadfff"/>
        </w:tblPrEx>
        <w:trPr>
          <w:trHeight w:val="1420" w:hRule="atLeast"/>
        </w:trPr>
        <w:tc>
          <w:tcPr>
            <w:tcW w:type="dxa" w:w="9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Weaknesses</w:t>
            </w:r>
          </w:p>
        </w:tc>
        <w:tc>
          <w:tcPr>
            <w:tcW w:type="dxa" w:w="84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Perceived Technical Bias:</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A natural tendency to focus on the technical integrity and structure (the </w:t>
            </w:r>
            <w:r>
              <w:rPr>
                <w:rFonts w:ascii="Times Roman" w:cs="Arial Unicode MS" w:hAnsi="Times Roman" w:eastAsia="Arial Unicode MS"/>
                <w:b w:val="0"/>
                <w:bCs w:val="0"/>
                <w:i w:val="1"/>
                <w:iCs w:val="1"/>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how</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and </w:t>
            </w:r>
            <w:r>
              <w:rPr>
                <w:rFonts w:ascii="Times Roman" w:cs="Arial Unicode MS" w:hAnsi="Times Roman" w:eastAsia="Arial Unicode MS"/>
                <w:b w:val="0"/>
                <w:bCs w:val="0"/>
                <w:i w:val="1"/>
                <w:iCs w:val="1"/>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when</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of delivery) before the change management and adoption strategy (the </w:t>
            </w:r>
            <w:r>
              <w:rPr>
                <w:rFonts w:ascii="Times Roman" w:cs="Arial Unicode MS" w:hAnsi="Times Roman" w:eastAsia="Arial Unicode MS"/>
                <w:b w:val="0"/>
                <w:bCs w:val="0"/>
                <w:i w:val="1"/>
                <w:iCs w:val="1"/>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people</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and </w:t>
            </w:r>
            <w:r>
              <w:rPr>
                <w:rFonts w:ascii="Times Roman" w:cs="Arial Unicode MS" w:hAnsi="Times Roman" w:eastAsia="Arial Unicode MS"/>
                <w:b w:val="0"/>
                <w:bCs w:val="0"/>
                <w:i w:val="1"/>
                <w:iCs w:val="1"/>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why</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This can lead to a perception that I prioritize risk mitigation over aggressive business transformation.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Limited Experience in Client-Facing Marketing:</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My background centers on internal IT project delivery, not external client marketing or communication strategies. Actively consulting on the client adoption plan requires stepping outside my traditional comfort zone and relying heavily on the expertise of the Client Financial Services Director.</w:t>
            </w:r>
          </w:p>
        </w:tc>
      </w:tr>
      <w:tr>
        <w:tblPrEx>
          <w:shd w:val="clear" w:color="auto" w:fill="cadfff"/>
        </w:tblPrEx>
        <w:trPr>
          <w:trHeight w:val="1700" w:hRule="atLeast"/>
        </w:trPr>
        <w:tc>
          <w:tcPr>
            <w:tcW w:type="dxa" w:w="9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Opportunities</w:t>
            </w:r>
          </w:p>
        </w:tc>
        <w:tc>
          <w:tcPr>
            <w:tcW w:type="dxa" w:w="84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Strategic Visibility:</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The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Seedling</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project's direct and measurable impact on operational cost savings provides a clear opportunity to present to the Executive Sponsor not just as a PM, but as a consultant framing the project's success in terms of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Return on Investment (ROI)</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and future competitive agility.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Executive Partnership:</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The mandate to solve the labor transcription problem is high-priority. This urgency creates an environment where executive leadership is receptive to the necessary strategic consulting needed to ensure project completion delivers maximum value.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Mentorship:</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The Site Supervisor, Angela Baughman, is a Product Manager. Leveraging her expertise provides a direct path to strengthening the product-thinking mindset required for consulting and superior client experience management.</w:t>
            </w:r>
          </w:p>
        </w:tc>
      </w:tr>
      <w:tr>
        <w:tblPrEx>
          <w:shd w:val="clear" w:color="auto" w:fill="cadfff"/>
        </w:tblPrEx>
        <w:trPr>
          <w:trHeight w:val="1420" w:hRule="atLeast"/>
        </w:trPr>
        <w:tc>
          <w:tcPr>
            <w:tcW w:type="dxa" w:w="9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Threats</w:t>
            </w:r>
          </w:p>
        </w:tc>
        <w:tc>
          <w:tcPr>
            <w:tcW w:type="dxa" w:w="84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Organizational and Client Inertia:</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The long-standing manual, paper-based process creates entrenched behaviors in both clients (mailing a form) and internal staff (manually transcribing data) that actively resist digital change. Without top-down change leadership, the project's key success metric (client adoption) may not be achieved.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Internal Stakeholder Fatigue:</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 Greenfield Financial is likely managing multiple internal transformation efforts. Competing priorities may drain resources necessary for training, quality assurance, and, most critically, dedicated marketing and client communications needed to drive adoption.</w:t>
            </w:r>
          </w:p>
        </w:tc>
      </w:tr>
    </w:tbl>
    <w:p>
      <w:pPr>
        <w:pStyle w:val="Default"/>
        <w:suppressAutoHyphens w:val="1"/>
        <w:spacing w:before="0" w:after="240" w:line="240" w:lineRule="auto"/>
        <w:jc w:val="left"/>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IV. Critical Risks Affecting Project Success and the Consultant's Role</w:t>
      </w:r>
    </w:p>
    <w:p>
      <w:pPr>
        <w:pStyle w:val="Default"/>
        <w:suppressAutoHyphens w:val="1"/>
        <w:spacing w:before="0" w:after="240" w:line="240" w:lineRule="auto"/>
        <w:jc w:val="left"/>
        <w:rPr>
          <w:rFonts w:ascii="Times Roman" w:cs="Times Roman" w:hAnsi="Times Roman" w:eastAsia="Times Roman"/>
        </w:rPr>
      </w:pPr>
      <w:r>
        <w:rPr>
          <w:rFonts w:ascii="Times Roman" w:hAnsi="Times Roman"/>
          <w:rtl w:val="0"/>
          <w:lang w:val="en-US"/>
        </w:rPr>
        <w:t xml:space="preserve">While the technical complexity of the ETL pipeline is managed through meticulous planning and design, the greatest risks to the </w:t>
      </w:r>
      <w:r>
        <w:rPr>
          <w:rFonts w:ascii="Times Roman" w:hAnsi="Times Roman"/>
          <w:b w:val="1"/>
          <w:bCs w:val="1"/>
          <w:rtl w:val="0"/>
          <w:lang w:val="en-US"/>
        </w:rPr>
        <w:t>Seedling Initiative's</w:t>
      </w:r>
      <w:r>
        <w:rPr>
          <w:rFonts w:ascii="Times Roman" w:hAnsi="Times Roman"/>
          <w:rtl w:val="0"/>
          <w:lang w:val="en-US"/>
        </w:rPr>
        <w:t xml:space="preserve"> success are organizational and behavioral. These threats require the project manager to step into the consulting role to secure buy-in for non-technical mitigation efforts.</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Dependency on Client Portal Adoption:</w:t>
      </w:r>
      <w:r>
        <w:rPr>
          <w:rFonts w:ascii="Times Roman" w:hAnsi="Times Roman"/>
          <w:rtl w:val="0"/>
          <w:lang w:val="en-US"/>
        </w:rPr>
        <w:t xml:space="preserve"> The primary risk is the failure to meet targeted client portal adoption numbers. If 50% of clients continue to mail in paper balance sheets, the labor cost savings will be halved, and the value proposition of the project is significantly compromised. </w:t>
      </w:r>
      <w:r>
        <w:rPr>
          <w:rFonts w:ascii="Times Roman" w:hAnsi="Times Roman"/>
          <w:b w:val="1"/>
          <w:bCs w:val="1"/>
          <w:rtl w:val="0"/>
          <w:lang w:val="en-US"/>
        </w:rPr>
        <w:t>Consulting Action:</w:t>
      </w:r>
      <w:r>
        <w:rPr>
          <w:rFonts w:ascii="Times Roman" w:hAnsi="Times Roman"/>
          <w:rtl w:val="0"/>
          <w:lang w:val="en-US"/>
        </w:rPr>
        <w:t xml:space="preserve"> My personal responsibility is to secure high-level management buy-in for the necessary </w:t>
      </w:r>
      <w:r>
        <w:rPr>
          <w:rFonts w:ascii="Times Roman" w:hAnsi="Times Roman"/>
          <w:b w:val="1"/>
          <w:bCs w:val="1"/>
          <w:rtl w:val="0"/>
          <w:lang w:val="en-US"/>
        </w:rPr>
        <w:t>change agents</w:t>
      </w:r>
      <w:r>
        <w:rPr>
          <w:rFonts w:ascii="Times Roman" w:hAnsi="Times Roman"/>
          <w:rtl w:val="0"/>
          <w:lang w:val="en-US"/>
        </w:rPr>
        <w:t xml:space="preserve"> (e.g., Client Service teams, Marketing) and ensure the scope is redefined to include measurable milestones for adoption campaigns, treating client adoption as a project deliverable itself.</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Legacy System Resource Bandwidth:</w:t>
      </w:r>
      <w:r>
        <w:rPr>
          <w:rFonts w:ascii="Times Roman" w:hAnsi="Times Roman"/>
          <w:rtl w:val="0"/>
          <w:lang w:val="en-US"/>
        </w:rPr>
        <w:t xml:space="preserve"> The successful integration relies on subject matter expert (SME) resources within AgriBank and the teams that own and manage the existing SQL databases. There is a distinct possibility that IT may not be able to tap those resources during the development lifecycle due to competing internal projects. If the SMEs are unable to dedicate adequate time to defining the data transformation rules and validating the end-to-end data flow, the integrity of the real-time SSOT will be compromised. </w:t>
      </w:r>
      <w:r>
        <w:rPr>
          <w:rFonts w:ascii="Times Roman" w:hAnsi="Times Roman"/>
          <w:b w:val="1"/>
          <w:bCs w:val="1"/>
          <w:rtl w:val="0"/>
          <w:lang w:val="en-US"/>
        </w:rPr>
        <w:t>Consulting Action:</w:t>
      </w:r>
      <w:r>
        <w:rPr>
          <w:rFonts w:ascii="Times Roman" w:hAnsi="Times Roman"/>
          <w:rtl w:val="0"/>
          <w:lang w:val="en-US"/>
        </w:rPr>
        <w:t xml:space="preserve"> In my role as project manager, I must serve as an internal advocate and consultant to secure high-level management agreement for dedicated SME time, implementing a robust coordination and risk management strategy to foster a collaborative partnership with the legacy system owners and preemptively address resource contention.</w:t>
      </w:r>
    </w:p>
    <w:p>
      <w:pPr>
        <w:pStyle w:val="Default"/>
        <w:suppressAutoHyphens w:val="1"/>
        <w:spacing w:before="0" w:after="240" w:line="240" w:lineRule="auto"/>
        <w:jc w:val="left"/>
        <w:rPr>
          <w:rFonts w:ascii="Times Roman" w:cs="Times Roman" w:hAnsi="Times Roman" w:eastAsia="Times Roman"/>
        </w:rPr>
      </w:pPr>
      <w:r>
        <w:rPr>
          <w:rFonts w:ascii="Times Roman" w:hAnsi="Times Roman"/>
          <w:b w:val="1"/>
          <w:bCs w:val="1"/>
          <w:rtl w:val="0"/>
          <w:lang w:val="en-US"/>
        </w:rPr>
        <w:t>Organizational Compliance Gateways:</w:t>
      </w:r>
      <w:r>
        <w:rPr>
          <w:rFonts w:ascii="Times Roman" w:hAnsi="Times Roman"/>
          <w:rtl w:val="0"/>
          <w:lang w:val="en-US"/>
        </w:rPr>
        <w:t xml:space="preserve"> As this project deals with sensitive financial data, the internal Legal and Compliance Gateways are mandatory. Any unexpected friction or scope creep during these formal review processes could lead to significant schedule delays. </w:t>
      </w:r>
      <w:r>
        <w:rPr>
          <w:rFonts w:ascii="Times Roman" w:hAnsi="Times Roman"/>
          <w:b w:val="1"/>
          <w:bCs w:val="1"/>
          <w:rtl w:val="0"/>
          <w:lang w:val="en-US"/>
        </w:rPr>
        <w:t>Consulting Action:</w:t>
      </w:r>
      <w:r>
        <w:rPr>
          <w:rFonts w:ascii="Times Roman" w:hAnsi="Times Roman"/>
          <w:rtl w:val="0"/>
          <w:lang w:val="en-US"/>
        </w:rPr>
        <w:t xml:space="preserve"> I must proactively engage Legal and Compliance early in the requirements phase to ensure no surprises emerge later. By framing the project's governance structure as a safeguard for regulatory integrity and brand reputation, I can proactively streamline the approval process rather than viewing the gateway as a simple roadblock.</w:t>
      </w:r>
    </w:p>
    <w:p>
      <w:pPr>
        <w:pStyle w:val="Default"/>
        <w:suppressAutoHyphens w:val="1"/>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Conclusion</w:t>
      </w:r>
    </w:p>
    <w:p>
      <w:pPr>
        <w:pStyle w:val="Default"/>
        <w:suppressAutoHyphens w:val="1"/>
        <w:spacing w:before="0" w:after="240" w:line="240" w:lineRule="auto"/>
        <w:jc w:val="left"/>
      </w:pPr>
      <w:r>
        <w:rPr>
          <w:rFonts w:ascii="Times Roman" w:hAnsi="Times Roman"/>
          <w:rtl w:val="0"/>
          <w:lang w:val="en-US"/>
        </w:rPr>
        <w:t xml:space="preserve">The </w:t>
      </w:r>
      <w:r>
        <w:rPr>
          <w:rFonts w:ascii="Times Roman" w:hAnsi="Times Roman"/>
          <w:b w:val="1"/>
          <w:bCs w:val="1"/>
          <w:rtl w:val="0"/>
          <w:lang w:val="en-US"/>
        </w:rPr>
        <w:t>Seedling Initiative</w:t>
      </w:r>
      <w:r>
        <w:rPr>
          <w:rFonts w:ascii="Times Roman" w:hAnsi="Times Roman"/>
          <w:rtl w:val="0"/>
          <w:lang w:val="en-US"/>
        </w:rPr>
        <w:t xml:space="preserve"> demands a project manager who understands that delivering on technology is only the first step. The true value lies in driving the organizational and behavioral changes required for successful adoption. By consciously evolving from a process-focused IT resource into a strategic </w:t>
      </w:r>
      <w:r>
        <w:rPr>
          <w:rFonts w:ascii="Times Roman" w:hAnsi="Times Roman"/>
          <w:b w:val="1"/>
          <w:bCs w:val="1"/>
          <w:rtl w:val="0"/>
          <w:lang w:val="en-US"/>
        </w:rPr>
        <w:t>business consultant</w:t>
      </w:r>
      <w:r>
        <w:rPr>
          <w:rFonts w:ascii="Times Roman" w:hAnsi="Times Roman"/>
          <w:rtl w:val="0"/>
          <w:lang w:val="en-US"/>
        </w:rPr>
        <w:t xml:space="preserve">, I can leverage my deep technical and financial acumen to proactively influence client adoption strategies, secure necessary resources for change management, and ensure that the </w:t>
      </w:r>
      <w:r>
        <w:rPr>
          <w:rFonts w:ascii="Times Roman" w:hAnsi="Times Roman"/>
          <w:b w:val="1"/>
          <w:bCs w:val="1"/>
          <w:rtl w:val="0"/>
          <w:lang w:val="en-US"/>
        </w:rPr>
        <w:t>Seedling Initiative</w:t>
      </w:r>
      <w:r>
        <w:rPr>
          <w:rFonts w:ascii="Times Roman" w:hAnsi="Times Roman"/>
          <w:rtl w:val="0"/>
          <w:lang w:val="en-US"/>
        </w:rPr>
        <w:t xml:space="preserve"> successfully cultivates operational efficiency and delivers maximum strategic value for Greenfield Financial.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