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Seedling Automation Expansion: Mitigating Regulatory Risk Through Digital Data Integration Kate Herrick Capella University IT-FPX 4997: Capstone I Site Supervisor: [Placeholder: Site Supervisor's Name/Role] [Placeholder: Date]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I. Organizational Introduction and Problem Statement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Greenfield Financial operates as a Farm Credit System Agricultural Credit Association (ACA), serving client-shareholders across multiple states. As a financial cooperative, the organization</w:t>
      </w:r>
      <w:r>
        <w:rPr>
          <w:rFonts w:ascii="Times Roman" w:hAnsi="Times Roman" w:hint="default"/>
          <w:rtl w:val="1"/>
        </w:rPr>
        <w:t>’</w:t>
      </w:r>
      <w:r>
        <w:rPr>
          <w:rFonts w:ascii="Times Roman" w:hAnsi="Times Roman"/>
          <w:rtl w:val="0"/>
          <w:lang w:val="en-US"/>
        </w:rPr>
        <w:t>s mission relies on deep relationships and maintaining the fiscal health of its agricultural clients. A critical requirement is the annual submission of detailed balance sheets (assets, liabilities, income, and expenses) used for portfolio analysis, client evaluation, and regulatory reporting to the Farm Credit Administration (FCA).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current process presents a critical risk and efficiency bottleneck:</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Manual Data Entry Risk:</w:t>
      </w:r>
      <w:r>
        <w:rPr>
          <w:rFonts w:ascii="Times Roman" w:hAnsi="Times Roman"/>
          <w:rtl w:val="0"/>
          <w:lang w:val="en-US"/>
        </w:rPr>
        <w:t xml:space="preserve"> Clients mail in paper forms, which staff must manually transcribe into Salesforce and subsequently into the SQL database. This </w:t>
      </w:r>
      <w:r>
        <w:rPr>
          <w:rFonts w:ascii="Times Roman" w:hAnsi="Times Roman"/>
          <w:b w:val="1"/>
          <w:bCs w:val="1"/>
          <w:rtl w:val="0"/>
          <w:lang w:val="en-US"/>
        </w:rPr>
        <w:t>"data marathon"</w:t>
      </w:r>
      <w:r>
        <w:rPr>
          <w:rFonts w:ascii="Times Roman" w:hAnsi="Times Roman"/>
          <w:rtl w:val="0"/>
          <w:lang w:val="en-US"/>
        </w:rPr>
        <w:t xml:space="preserve"> introduces significant risk of human error, potentially compromising data integrity for financial evaluations.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Operational Bottleneck:</w:t>
      </w:r>
      <w:r>
        <w:rPr>
          <w:rFonts w:ascii="Times Roman" w:hAnsi="Times Roman"/>
          <w:rtl w:val="0"/>
          <w:lang w:val="en-US"/>
        </w:rPr>
        <w:t xml:space="preserve"> The resource demand during January's annual reporting cycle drains highly skilled staff from strategic work (relationship management, analysis) into tedious, low-value data transcription.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Compliance Vulnerability:</w:t>
      </w:r>
      <w:r>
        <w:rPr>
          <w:rFonts w:ascii="Times Roman" w:hAnsi="Times Roman"/>
          <w:rtl w:val="0"/>
          <w:lang w:val="en-US"/>
        </w:rPr>
        <w:t xml:space="preserve"> The paper-based process increases the surface area for physical data loss, violating modern data security expectations for sensitive financial information.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Seedling Automation Expansion</w:t>
      </w:r>
      <w:r>
        <w:rPr>
          <w:rFonts w:ascii="Times Roman" w:hAnsi="Times Roman"/>
          <w:rtl w:val="0"/>
          <w:lang w:val="en-US"/>
        </w:rPr>
        <w:t xml:space="preserve"> project is chartered to transform this manual process into a secure, end-to-end digital data integration pipeline.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II. Project Charter (Narrative Summary)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Seedling Automation Expansion</w:t>
      </w:r>
      <w:r>
        <w:rPr>
          <w:rFonts w:ascii="Times Roman" w:hAnsi="Times Roman"/>
          <w:rtl w:val="0"/>
          <w:lang w:val="en-US"/>
        </w:rPr>
        <w:t xml:space="preserve"> project is a strategic response to mandated regulatory compliance and the need for significant operational efficiency improvements. It is chartered to eliminate manual data entry of client balance sheets by implementing a fully automated, secure data flow from client submission through all core enterprise systems.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Strategic Objectives and Scope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primary objective is to achieve </w:t>
      </w:r>
      <w:r>
        <w:rPr>
          <w:rFonts w:ascii="Times Roman" w:hAnsi="Times Roman"/>
          <w:b w:val="1"/>
          <w:bCs w:val="1"/>
          <w:rtl w:val="0"/>
          <w:lang w:val="it-IT"/>
        </w:rPr>
        <w:t>100% data integrity</w:t>
      </w:r>
      <w:r>
        <w:rPr>
          <w:rFonts w:ascii="Times Roman" w:hAnsi="Times Roman"/>
          <w:rtl w:val="0"/>
          <w:lang w:val="en-US"/>
        </w:rPr>
        <w:t xml:space="preserve"> for all balance sheet line items by removing human transcription from the process. This will immediately free internal staff resources from the annual data marathon and provide an enhanced, digital client experience.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project scope focuses on building and modifying the necessary components for this data pipeline:</w:t>
      </w:r>
    </w:p>
    <w:p>
      <w:pPr>
        <w:pStyle w:val="Default"/>
        <w:numPr>
          <w:ilvl w:val="0"/>
          <w:numId w:val="4"/>
        </w:numPr>
        <w:suppressAutoHyphens w:val="1"/>
        <w:spacing w:before="0" w:after="240" w:line="240" w:lineRule="auto"/>
        <w:jc w:val="left"/>
        <w:rPr>
          <w:rFonts w:ascii="Times Roman" w:hAnsi="Times Roman"/>
          <w:lang w:val="de-DE"/>
        </w:rPr>
      </w:pPr>
      <w:r>
        <w:rPr>
          <w:rFonts w:ascii="Times Roman" w:hAnsi="Times Roman"/>
          <w:b w:val="1"/>
          <w:bCs w:val="1"/>
          <w:rtl w:val="0"/>
          <w:lang w:val="de-DE"/>
        </w:rPr>
        <w:t>Digital Submission Form:</w:t>
      </w:r>
      <w:r>
        <w:rPr>
          <w:rFonts w:ascii="Times Roman" w:hAnsi="Times Roman"/>
          <w:rtl w:val="0"/>
          <w:lang w:val="en-US"/>
        </w:rPr>
        <w:t xml:space="preserve"> Creating a secure, web-enabled form within the Salesforce platform for structured data capture.</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Salesforce API Integration:</w:t>
      </w:r>
      <w:r>
        <w:rPr>
          <w:rFonts w:ascii="Times Roman" w:hAnsi="Times Roman"/>
          <w:rtl w:val="0"/>
          <w:lang w:val="en-US"/>
        </w:rPr>
        <w:t xml:space="preserve"> Implementing a new API call to instantly transmit line-item data into a dedicated </w:t>
      </w:r>
      <w:r>
        <w:rPr>
          <w:rFonts w:ascii="Times Roman" w:hAnsi="Times Roman"/>
          <w:b w:val="1"/>
          <w:bCs w:val="1"/>
          <w:rtl w:val="0"/>
          <w:lang w:val="en-US"/>
        </w:rPr>
        <w:t>Custom Salesforce Object</w:t>
      </w:r>
      <w:r>
        <w:rPr>
          <w:rFonts w:ascii="Times Roman" w:hAnsi="Times Roman"/>
          <w:rtl w:val="0"/>
        </w:rPr>
        <w:t>.</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ETL Job Modifications (Internal and External):</w:t>
      </w:r>
      <w:r>
        <w:rPr>
          <w:rFonts w:ascii="Times Roman" w:hAnsi="Times Roman"/>
          <w:rtl w:val="0"/>
          <w:lang w:val="en-US"/>
        </w:rPr>
        <w:t xml:space="preserve"> Updating the existing Extract, Transform, Load (ETL) jobs to pull the new detailed line-item data from Salesforce, load it securely into the </w:t>
      </w:r>
      <w:r>
        <w:rPr>
          <w:rFonts w:ascii="Times Roman" w:hAnsi="Times Roman"/>
          <w:b w:val="1"/>
          <w:bCs w:val="1"/>
          <w:rtl w:val="0"/>
          <w:lang w:val="nl-NL"/>
        </w:rPr>
        <w:t>Greenfield SQL Database</w:t>
      </w:r>
      <w:r>
        <w:rPr>
          <w:rFonts w:ascii="Times Roman" w:hAnsi="Times Roman"/>
          <w:rtl w:val="0"/>
          <w:lang w:val="en-US"/>
        </w:rPr>
        <w:t xml:space="preserve">, and subsequently transmit it to the </w:t>
      </w:r>
      <w:r>
        <w:rPr>
          <w:rFonts w:ascii="Times Roman" w:hAnsi="Times Roman"/>
          <w:b w:val="1"/>
          <w:bCs w:val="1"/>
          <w:rtl w:val="0"/>
          <w:lang w:val="de-DE"/>
        </w:rPr>
        <w:t>AgriBank System</w:t>
      </w:r>
      <w:r>
        <w:rPr>
          <w:rFonts w:ascii="Times Roman" w:hAnsi="Times Roman"/>
          <w:rtl w:val="0"/>
          <w:lang w:val="pt-PT"/>
        </w:rPr>
        <w:t xml:space="preserve"> for external reporting.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project explicitly </w:t>
      </w:r>
      <w:r>
        <w:rPr>
          <w:rFonts w:ascii="Times Roman" w:hAnsi="Times Roman"/>
          <w:b w:val="1"/>
          <w:bCs w:val="1"/>
          <w:rtl w:val="0"/>
          <w:lang w:val="en-US"/>
        </w:rPr>
        <w:t>excludes</w:t>
      </w:r>
      <w:r>
        <w:rPr>
          <w:rFonts w:ascii="Times Roman" w:hAnsi="Times Roman"/>
          <w:rtl w:val="0"/>
          <w:lang w:val="en-US"/>
        </w:rPr>
        <w:t xml:space="preserve"> any work related to automated credit scoring, new business intelligence (BI) report development, or changes to foundational IT infrastructure not directly tied to the new ETL data flow.</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Governance and Success Criteria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success of the </w:t>
      </w:r>
      <w:r>
        <w:rPr>
          <w:rFonts w:ascii="Times Roman" w:hAnsi="Times Roman"/>
          <w:b w:val="1"/>
          <w:bCs w:val="1"/>
          <w:rtl w:val="0"/>
          <w:lang w:val="en-US"/>
        </w:rPr>
        <w:t>Seedling</w:t>
      </w:r>
      <w:r>
        <w:rPr>
          <w:rFonts w:ascii="Times Roman" w:hAnsi="Times Roman"/>
          <w:rtl w:val="0"/>
          <w:lang w:val="en-US"/>
        </w:rPr>
        <w:t xml:space="preserve"> project will be measured by both its technical stability and its adoption rate:</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Data Validation:</w:t>
      </w:r>
      <w:r>
        <w:rPr>
          <w:rFonts w:ascii="Times Roman" w:hAnsi="Times Roman"/>
          <w:rtl w:val="0"/>
          <w:lang w:val="en-US"/>
        </w:rPr>
        <w:t xml:space="preserve"> The final pipeline must demonstrate </w:t>
      </w:r>
      <w:r>
        <w:rPr>
          <w:rFonts w:ascii="Times Roman" w:hAnsi="Times Roman"/>
          <w:b w:val="1"/>
          <w:bCs w:val="1"/>
          <w:rtl w:val="0"/>
          <w:lang w:val="en-US"/>
        </w:rPr>
        <w:t>100% functional accuracy</w:t>
      </w:r>
      <w:r>
        <w:rPr>
          <w:rFonts w:ascii="Times Roman" w:hAnsi="Times Roman"/>
          <w:rtl w:val="0"/>
          <w:lang w:val="en-US"/>
        </w:rPr>
        <w:t xml:space="preserve"> when exporting data to the AgriBank system across all balance sheet scenarios.</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Process Automation:</w:t>
      </w:r>
      <w:r>
        <w:rPr>
          <w:rFonts w:ascii="Times Roman" w:hAnsi="Times Roman"/>
          <w:rtl w:val="0"/>
          <w:lang w:val="en-US"/>
        </w:rPr>
        <w:t xml:space="preserve"> The manual "data marathon" must be fully eliminated for the subsequent annual reporting cycle.</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Client Adoption:</w:t>
      </w:r>
      <w:r>
        <w:rPr>
          <w:rFonts w:ascii="Times Roman" w:hAnsi="Times Roman"/>
          <w:rtl w:val="0"/>
          <w:lang w:val="en-US"/>
        </w:rPr>
        <w:t xml:space="preserve"> The project must achieve a target of </w:t>
      </w:r>
      <w:r>
        <w:rPr>
          <w:rFonts w:ascii="Times Roman" w:hAnsi="Times Roman"/>
          <w:b w:val="1"/>
          <w:bCs w:val="1"/>
          <w:rtl w:val="0"/>
          <w:lang w:val="en-US"/>
        </w:rPr>
        <w:t>[Placeholder: Specific Client Adoption Percentage]%</w:t>
      </w:r>
      <w:r>
        <w:rPr>
          <w:rFonts w:ascii="Times Roman" w:hAnsi="Times Roman"/>
          <w:rtl w:val="0"/>
          <w:lang w:val="en-US"/>
        </w:rPr>
        <w:t xml:space="preserve"> of client-shareholders successfully utilizing the new digital form.</w:t>
      </w:r>
    </w:p>
    <w:p>
      <w:pPr>
        <w:pStyle w:val="Default"/>
        <w:numPr>
          <w:ilvl w:val="0"/>
          <w:numId w:val="4"/>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Project Duration and Budget:</w:t>
      </w:r>
      <w:r>
        <w:rPr>
          <w:rFonts w:ascii="Times Roman" w:hAnsi="Times Roman"/>
          <w:b w:val="0"/>
          <w:bCs w:val="0"/>
          <w:rtl w:val="0"/>
          <w:lang w:val="en-US"/>
        </w:rPr>
        <w:t xml:space="preserve"> The project is estimated to take </w:t>
      </w:r>
      <w:r>
        <w:rPr>
          <w:rFonts w:ascii="Times Roman" w:hAnsi="Times Roman"/>
          <w:b w:val="1"/>
          <w:bCs w:val="1"/>
          <w:rtl w:val="0"/>
          <w:lang w:val="en-US"/>
        </w:rPr>
        <w:t>[Placeholder: Duration, e.g., Six to Eight Months]</w:t>
      </w:r>
      <w:r>
        <w:rPr>
          <w:rFonts w:ascii="Times Roman" w:hAnsi="Times Roman"/>
          <w:b w:val="0"/>
          <w:bCs w:val="0"/>
          <w:rtl w:val="0"/>
          <w:lang w:val="en-US"/>
        </w:rPr>
        <w:t xml:space="preserve"> with an estimated total cost of </w:t>
      </w:r>
      <w:r>
        <w:rPr>
          <w:rFonts w:ascii="Times Roman" w:hAnsi="Times Roman"/>
          <w:b w:val="1"/>
          <w:bCs w:val="1"/>
          <w:rtl w:val="0"/>
          <w:lang w:val="en-US"/>
        </w:rPr>
        <w:t>[Placeholder: Total Budget Amount, e.g., $150,000]</w:t>
      </w:r>
      <w:r>
        <w:rPr>
          <w:rFonts w:ascii="Times Roman" w:hAnsi="Times Roman"/>
          <w:b w:val="0"/>
          <w:bCs w:val="0"/>
          <w:rtl w:val="0"/>
        </w:rPr>
        <w: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III. Environmental Scan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project is driven by three major external forces operating within Greenfield Financial's environment: the regulatory landscape, evolving market dynamics, and current technological trends.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Regulatory and Compliance Landscape (External)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most forceful driver is the </w:t>
      </w:r>
      <w:r>
        <w:rPr>
          <w:rFonts w:ascii="Times Roman" w:hAnsi="Times Roman"/>
          <w:b w:val="1"/>
          <w:bCs w:val="1"/>
          <w:rtl w:val="0"/>
          <w:lang w:val="en-US"/>
        </w:rPr>
        <w:t>Farm Credit Administration (FCA)</w:t>
      </w:r>
      <w:r>
        <w:rPr>
          <w:rFonts w:ascii="Times Roman" w:hAnsi="Times Roman"/>
          <w:rtl w:val="0"/>
          <w:lang w:val="en-US"/>
        </w:rPr>
        <w:t xml:space="preserve"> oversight. The legacy manual process exposes Greenfield to severe risks regarding </w:t>
      </w:r>
      <w:r>
        <w:rPr>
          <w:rFonts w:ascii="Times Roman" w:hAnsi="Times Roman"/>
          <w:b w:val="1"/>
          <w:bCs w:val="1"/>
          <w:rtl w:val="0"/>
          <w:lang w:val="en-US"/>
        </w:rPr>
        <w:t>data integrity and data security</w:t>
      </w:r>
      <w:r>
        <w:rPr>
          <w:rFonts w:ascii="Times Roman" w:hAnsi="Times Roman"/>
          <w:rtl w:val="0"/>
          <w:lang w:val="en-US"/>
        </w:rPr>
        <w:t xml:space="preserve">. Misplaced paper forms or transcription errors in the balance sheet data could lead to inaccurate portfolio analysis, resulting in non-compliance with FCA mandates. The </w:t>
      </w:r>
      <w:r>
        <w:rPr>
          <w:rFonts w:ascii="Times Roman" w:hAnsi="Times Roman"/>
          <w:b w:val="1"/>
          <w:bCs w:val="1"/>
          <w:rtl w:val="0"/>
          <w:lang w:val="en-US"/>
        </w:rPr>
        <w:t>Seedling</w:t>
      </w:r>
      <w:r>
        <w:rPr>
          <w:rFonts w:ascii="Times Roman" w:hAnsi="Times Roman"/>
          <w:rtl w:val="0"/>
          <w:lang w:val="en-US"/>
        </w:rPr>
        <w:t xml:space="preserve"> project proactively addresses this by enforcing an encrypted, automated data capture process, aligning Greenfield with best-practice financial governance and mitigating potential regulatory action.</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Market and Client Dynamics (External)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Client-shareholders, even within the cooperative model, increasingly expect modern, </w:t>
      </w:r>
      <w:r>
        <w:rPr>
          <w:rFonts w:ascii="Times Roman" w:hAnsi="Times Roman"/>
          <w:b w:val="1"/>
          <w:bCs w:val="1"/>
          <w:rtl w:val="0"/>
          <w:lang w:val="en-US"/>
        </w:rPr>
        <w:t>digital service delivery</w:t>
      </w:r>
      <w:r>
        <w:rPr>
          <w:rFonts w:ascii="Times Roman" w:hAnsi="Times Roman"/>
          <w:rtl w:val="0"/>
          <w:lang w:val="en-US"/>
        </w:rPr>
        <w:t xml:space="preserve">. The friction caused by mailing and hand-filling complex financial forms negatively impacts the </w:t>
      </w:r>
      <w:r>
        <w:rPr>
          <w:rFonts w:ascii="Times Roman" w:hAnsi="Times Roman"/>
          <w:b w:val="1"/>
          <w:bCs w:val="1"/>
          <w:rtl w:val="0"/>
          <w:lang w:val="en-US"/>
        </w:rPr>
        <w:t>client experience</w:t>
      </w:r>
      <w:r>
        <w:rPr>
          <w:rFonts w:ascii="Times Roman" w:hAnsi="Times Roman"/>
          <w:rtl w:val="0"/>
          <w:lang w:val="en-US"/>
        </w:rPr>
        <w:t xml:space="preserve"> and could lead to competitive disadvantage against institutions offering streamlined online portals. The automation provides an </w:t>
      </w:r>
      <w:r>
        <w:rPr>
          <w:rFonts w:ascii="Times Roman" w:hAnsi="Times Roman"/>
          <w:b w:val="1"/>
          <w:bCs w:val="1"/>
          <w:rtl w:val="0"/>
          <w:lang w:val="en-US"/>
        </w:rPr>
        <w:t>opportunity to enhance client satisfaction</w:t>
      </w:r>
      <w:r>
        <w:rPr>
          <w:rFonts w:ascii="Times Roman" w:hAnsi="Times Roman"/>
          <w:rtl w:val="0"/>
          <w:lang w:val="en-US"/>
        </w:rPr>
        <w:t xml:space="preserve"> and competitive standing, reinforcing the cooperative relationship through convenience. Internally, the project addresses the market demand for utilizing skilled analysts on high-value, strategic work rather than administrative data entry, improving </w:t>
      </w:r>
      <w:r>
        <w:rPr>
          <w:rFonts w:ascii="Times Roman" w:hAnsi="Times Roman"/>
          <w:b w:val="1"/>
          <w:bCs w:val="1"/>
          <w:rtl w:val="0"/>
          <w:lang w:val="en-US"/>
        </w:rPr>
        <w:t>staff morale and operational intelligence</w:t>
      </w:r>
      <w:r>
        <w:rPr>
          <w:rFonts w:ascii="Times Roman" w:hAnsi="Times Roman"/>
          <w:rtl w:val="0"/>
        </w:rPr>
        <w: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Technological and Automation Trends (External)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Seedling</w:t>
      </w:r>
      <w:r>
        <w:rPr>
          <w:rFonts w:ascii="Times Roman" w:hAnsi="Times Roman"/>
          <w:rtl w:val="0"/>
          <w:lang w:val="en-US"/>
        </w:rPr>
        <w:t xml:space="preserve"> expansion leverages the contemporary trends of the </w:t>
      </w:r>
      <w:r>
        <w:rPr>
          <w:rFonts w:ascii="Times Roman" w:hAnsi="Times Roman"/>
          <w:b w:val="1"/>
          <w:bCs w:val="1"/>
          <w:rtl w:val="0"/>
          <w:lang w:val="it-IT"/>
        </w:rPr>
        <w:t>API Economy</w:t>
      </w:r>
      <w:r>
        <w:rPr>
          <w:rFonts w:ascii="Times Roman" w:hAnsi="Times Roman"/>
          <w:rtl w:val="0"/>
          <w:lang w:val="en-US"/>
        </w:rPr>
        <w:t xml:space="preserve"> and </w:t>
      </w:r>
      <w:r>
        <w:rPr>
          <w:rFonts w:ascii="Times Roman" w:hAnsi="Times Roman"/>
          <w:b w:val="1"/>
          <w:bCs w:val="1"/>
          <w:rtl w:val="0"/>
          <w:lang w:val="de-DE"/>
        </w:rPr>
        <w:t>intelligent process automation</w:t>
      </w:r>
      <w:r>
        <w:rPr>
          <w:rFonts w:ascii="Times Roman" w:hAnsi="Times Roman"/>
          <w:rtl w:val="0"/>
          <w:lang w:val="en-US"/>
        </w:rPr>
        <w:t xml:space="preserve">. The API integration replaces the human intermediary with a robust, programmatic connection between the client form and the enterprise systems (Salesforce, SQL, AgriBank). This movement toward interconnected systems using </w:t>
      </w:r>
      <w:r>
        <w:rPr>
          <w:rFonts w:ascii="Times Roman" w:hAnsi="Times Roman"/>
          <w:b w:val="1"/>
          <w:bCs w:val="1"/>
          <w:rtl w:val="0"/>
          <w:lang w:val="en-US"/>
        </w:rPr>
        <w:t>API-driven data exchange</w:t>
      </w:r>
      <w:r>
        <w:rPr>
          <w:rFonts w:ascii="Times Roman" w:hAnsi="Times Roman"/>
          <w:rtl w:val="0"/>
          <w:lang w:val="en-US"/>
        </w:rPr>
        <w:t xml:space="preserve"> is the industry standard for secure, real-time data management and is necessary to maintain a reliable </w:t>
      </w:r>
      <w:r>
        <w:rPr>
          <w:rFonts w:ascii="Times Roman" w:hAnsi="Times Roman"/>
          <w:b w:val="1"/>
          <w:bCs w:val="1"/>
          <w:rtl w:val="0"/>
          <w:lang w:val="en-US"/>
        </w:rPr>
        <w:t>Single Source of Truth (SSOT)</w:t>
      </w:r>
      <w:r>
        <w:rPr>
          <w:rFonts w:ascii="Times Roman" w:hAnsi="Times Roman"/>
          <w:rtl w:val="0"/>
          <w:lang w:val="en-US"/>
        </w:rPr>
        <w:t>. Success in this implementation validates Greenfield's ability to modernize its core ETL integration layer and sets a technical precedent for future automation projects.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IV. SWOT Analysis (Narrative)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strategic feasibility of the </w:t>
      </w:r>
      <w:r>
        <w:rPr>
          <w:rFonts w:ascii="Times Roman" w:hAnsi="Times Roman"/>
          <w:b w:val="1"/>
          <w:bCs w:val="1"/>
          <w:rtl w:val="0"/>
          <w:lang w:val="en-US"/>
        </w:rPr>
        <w:t>Seedling</w:t>
      </w:r>
      <w:r>
        <w:rPr>
          <w:rFonts w:ascii="Times Roman" w:hAnsi="Times Roman"/>
          <w:rtl w:val="0"/>
          <w:lang w:val="en-US"/>
        </w:rPr>
        <w:t xml:space="preserve"> project is assessed through an analysis of internal strengths and weaknesses, and external opportunities and threats.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Internal Factors (Strengths and Weaknesses)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Strengths:</w:t>
      </w:r>
      <w:r>
        <w:rPr>
          <w:rFonts w:ascii="Times Roman" w:hAnsi="Times Roman"/>
          <w:rtl w:val="0"/>
          <w:lang w:val="en-US"/>
        </w:rPr>
        <w:t xml:space="preserve"> Greenfield possesses a </w:t>
      </w:r>
      <w:r>
        <w:rPr>
          <w:rFonts w:ascii="Times Roman" w:hAnsi="Times Roman"/>
          <w:b w:val="1"/>
          <w:bCs w:val="1"/>
          <w:rtl w:val="0"/>
          <w:lang w:val="en-US"/>
        </w:rPr>
        <w:t>robust, existing technical foundation</w:t>
      </w:r>
      <w:r>
        <w:rPr>
          <w:rFonts w:ascii="Times Roman" w:hAnsi="Times Roman"/>
          <w:rtl w:val="0"/>
          <w:lang w:val="en-US"/>
        </w:rPr>
        <w:t xml:space="preserve">, including established ETL jobs and a comprehensive Salesforce instance, which will serve as the base for the new data pipeline. There is also </w:t>
      </w:r>
      <w:r>
        <w:rPr>
          <w:rFonts w:ascii="Times Roman" w:hAnsi="Times Roman"/>
          <w:b w:val="1"/>
          <w:bCs w:val="1"/>
          <w:rtl w:val="0"/>
          <w:lang w:val="en-US"/>
        </w:rPr>
        <w:t>clear executive buy-in</w:t>
      </w:r>
      <w:r>
        <w:rPr>
          <w:rFonts w:ascii="Times Roman" w:hAnsi="Times Roman"/>
          <w:rtl w:val="0"/>
          <w:lang w:val="en-US"/>
        </w:rPr>
        <w:t xml:space="preserve"> for this initiative, driven by the mandate to reduce financial and regulatory risk. The Project Manager, </w:t>
      </w:r>
      <w:r>
        <w:rPr>
          <w:rFonts w:ascii="Times Roman" w:hAnsi="Times Roman"/>
          <w:b w:val="1"/>
          <w:bCs w:val="1"/>
          <w:rtl w:val="0"/>
          <w:lang w:val="de-DE"/>
        </w:rPr>
        <w:t>Kate Herrick</w:t>
      </w:r>
      <w:r>
        <w:rPr>
          <w:rFonts w:ascii="Times Roman" w:hAnsi="Times Roman"/>
          <w:rtl w:val="0"/>
          <w:lang w:val="en-US"/>
        </w:rPr>
        <w:t>, has prior experience with similar large-scale system integration projects.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Weaknesses:</w:t>
      </w:r>
      <w:r>
        <w:rPr>
          <w:rFonts w:ascii="Times Roman" w:hAnsi="Times Roman"/>
          <w:rtl w:val="0"/>
          <w:lang w:val="en-US"/>
        </w:rPr>
        <w:t xml:space="preserve"> The primary internal weakness is the </w:t>
      </w:r>
      <w:r>
        <w:rPr>
          <w:rFonts w:ascii="Times Roman" w:hAnsi="Times Roman"/>
          <w:b w:val="1"/>
          <w:bCs w:val="1"/>
          <w:rtl w:val="0"/>
          <w:lang w:val="en-US"/>
        </w:rPr>
        <w:t>high dependence on legacy ETL jobs</w:t>
      </w:r>
      <w:r>
        <w:rPr>
          <w:rFonts w:ascii="Times Roman" w:hAnsi="Times Roman"/>
          <w:rtl w:val="0"/>
          <w:lang w:val="en-US"/>
        </w:rPr>
        <w:t xml:space="preserve"> and the specialized Subject Matter Expertise (SME) required from the </w:t>
      </w:r>
      <w:r>
        <w:rPr>
          <w:rFonts w:ascii="Times Roman" w:hAnsi="Times Roman"/>
          <w:b w:val="1"/>
          <w:bCs w:val="1"/>
          <w:rtl w:val="0"/>
          <w:lang w:val="en-US"/>
        </w:rPr>
        <w:t>AgriBank Systems Administration</w:t>
      </w:r>
      <w:r>
        <w:rPr>
          <w:rFonts w:ascii="Times Roman" w:hAnsi="Times Roman"/>
          <w:rtl w:val="0"/>
          <w:lang w:val="en-US"/>
        </w:rPr>
        <w:t xml:space="preserve"> team for modification and sign-off. This reliance creates a potential resource bottleneck. Furthermore, there is a risk of </w:t>
      </w:r>
      <w:r>
        <w:rPr>
          <w:rFonts w:ascii="Times Roman" w:hAnsi="Times Roman"/>
          <w:b w:val="1"/>
          <w:bCs w:val="1"/>
          <w:rtl w:val="0"/>
          <w:lang w:val="en-US"/>
        </w:rPr>
        <w:t>staff resistance to process change</w:t>
      </w:r>
      <w:r>
        <w:rPr>
          <w:rFonts w:ascii="Times Roman" w:hAnsi="Times Roman"/>
          <w:rtl w:val="0"/>
          <w:lang w:val="en-US"/>
        </w:rPr>
        <w:t xml:space="preserve"> after years of institutionalizing the manual "data marathon" process, requiring deliberate change management.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External Factors (Opportunities and Threats)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Opportunities:</w:t>
      </w:r>
      <w:r>
        <w:rPr>
          <w:rFonts w:ascii="Times Roman" w:hAnsi="Times Roman"/>
          <w:rtl w:val="0"/>
          <w:lang w:val="en-US"/>
        </w:rPr>
        <w:t xml:space="preserve"> The project presents a clear opportunity for </w:t>
      </w:r>
      <w:r>
        <w:rPr>
          <w:rFonts w:ascii="Times Roman" w:hAnsi="Times Roman"/>
          <w:b w:val="1"/>
          <w:bCs w:val="1"/>
          <w:rtl w:val="0"/>
          <w:lang w:val="en-US"/>
        </w:rPr>
        <w:t>enhanced client satisfaction</w:t>
      </w:r>
      <w:r>
        <w:rPr>
          <w:rFonts w:ascii="Times Roman" w:hAnsi="Times Roman"/>
          <w:rtl w:val="0"/>
          <w:lang w:val="en-US"/>
        </w:rPr>
        <w:t xml:space="preserve"> and competitive differentiation by offering a superior digital service. The regulatory urgency imposed by the FCA also ensures that the project maintains </w:t>
      </w:r>
      <w:r>
        <w:rPr>
          <w:rFonts w:ascii="Times Roman" w:hAnsi="Times Roman"/>
          <w:b w:val="1"/>
          <w:bCs w:val="1"/>
          <w:rtl w:val="0"/>
          <w:lang w:val="en-US"/>
        </w:rPr>
        <w:t>high strategic priority and secured funding</w:t>
      </w:r>
      <w:r>
        <w:rPr>
          <w:rFonts w:ascii="Times Roman" w:hAnsi="Times Roman"/>
          <w:rtl w:val="0"/>
          <w:lang w:val="en-US"/>
        </w:rPr>
        <w:t xml:space="preserve">. Finally, the high labor cost associated with the manual "data marathon" translates into a guaranteed, </w:t>
      </w:r>
      <w:r>
        <w:rPr>
          <w:rFonts w:ascii="Times Roman" w:hAnsi="Times Roman"/>
          <w:b w:val="1"/>
          <w:bCs w:val="1"/>
          <w:rtl w:val="0"/>
          <w:lang w:val="en-US"/>
        </w:rPr>
        <w:t>high Return on Investment (ROI)</w:t>
      </w:r>
      <w:r>
        <w:rPr>
          <w:rFonts w:ascii="Times Roman" w:hAnsi="Times Roman"/>
          <w:rtl w:val="0"/>
          <w:lang w:val="en-US"/>
        </w:rPr>
        <w:t xml:space="preserve"> for the automation effort.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Threats:</w:t>
      </w:r>
      <w:r>
        <w:rPr>
          <w:rFonts w:ascii="Times Roman" w:hAnsi="Times Roman"/>
          <w:rtl w:val="0"/>
          <w:lang w:val="en-US"/>
        </w:rPr>
        <w:t xml:space="preserve"> The most critical threat is the potential for </w:t>
      </w:r>
      <w:r>
        <w:rPr>
          <w:rFonts w:ascii="Times Roman" w:hAnsi="Times Roman"/>
          <w:b w:val="1"/>
          <w:bCs w:val="1"/>
          <w:rtl w:val="0"/>
          <w:lang w:val="en-US"/>
        </w:rPr>
        <w:t>regulatory penalties or litigation risk</w:t>
      </w:r>
      <w:r>
        <w:rPr>
          <w:rFonts w:ascii="Times Roman" w:hAnsi="Times Roman"/>
          <w:rtl w:val="0"/>
          <w:lang w:val="en-US"/>
        </w:rPr>
        <w:t xml:space="preserve"> from the FCA if a data integrity failure occurs before the automation is implemented and validated. Furthermore, if the project is significantly delayed, competitors may move faster to offer superior digital onboarding and documentation services, leading to a </w:t>
      </w:r>
      <w:r>
        <w:rPr>
          <w:rFonts w:ascii="Times Roman" w:hAnsi="Times Roman"/>
          <w:b w:val="1"/>
          <w:bCs w:val="1"/>
          <w:rtl w:val="0"/>
          <w:lang w:val="en-US"/>
        </w:rPr>
        <w:t>loss of market positioning</w:t>
      </w:r>
      <w:r>
        <w:rPr>
          <w:rFonts w:ascii="Times Roman" w:hAnsi="Times Roman"/>
          <w:rtl w:val="0"/>
          <w:lang w:val="en-US"/>
        </w:rPr>
        <w:t xml:space="preserve">. Finally, the </w:t>
      </w:r>
      <w:r>
        <w:rPr>
          <w:rFonts w:ascii="Times Roman" w:hAnsi="Times Roman"/>
          <w:b w:val="1"/>
          <w:bCs w:val="1"/>
          <w:rtl w:val="0"/>
          <w:lang w:val="en-US"/>
        </w:rPr>
        <w:t>resource bottleneck</w:t>
      </w:r>
      <w:r>
        <w:rPr>
          <w:rFonts w:ascii="Times Roman" w:hAnsi="Times Roman"/>
          <w:rtl w:val="0"/>
          <w:lang w:val="en-US"/>
        </w:rPr>
        <w:t xml:space="preserve"> with the AgriBank Systems Admin is a threat, as lack of dedicated SME time could compromise the integrity of the data transmission to the external reporting system.</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V. Governance and Resource Commitments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project requires dedicated commitment from key organizational leaders to ensure its success.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Key Project Stakeholders</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327"/>
        <w:gridCol w:w="7033"/>
      </w:tblGrid>
      <w:tr>
        <w:tblPrEx>
          <w:shd w:val="clear" w:color="auto" w:fill="auto"/>
        </w:tblPrEx>
        <w:trPr>
          <w:trHeight w:val="360" w:hRule="atLeast"/>
        </w:trPr>
        <w:tc>
          <w:tcPr>
            <w:tcW w:type="dxa" w:w="23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center"/>
            </w:pPr>
            <w:r>
              <w:rPr>
                <w:rFonts w:ascii="Times Roman" w:hAnsi="Times Roman"/>
                <w:b w:val="1"/>
                <w:bCs w:val="1"/>
                <w:sz w:val="24"/>
                <w:szCs w:val="24"/>
                <w:rtl w:val="0"/>
              </w:rPr>
              <w:t>Role</w:t>
            </w:r>
          </w:p>
        </w:tc>
        <w:tc>
          <w:tcPr>
            <w:tcW w:type="dxa" w:w="7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center"/>
            </w:pPr>
            <w:r>
              <w:rPr>
                <w:rFonts w:ascii="Times Roman" w:hAnsi="Times Roman"/>
                <w:b w:val="1"/>
                <w:bCs w:val="1"/>
                <w:sz w:val="24"/>
                <w:szCs w:val="24"/>
                <w:rtl w:val="0"/>
              </w:rPr>
              <w:t>Responsibility</w:t>
            </w:r>
          </w:p>
        </w:tc>
      </w:tr>
      <w:tr>
        <w:tblPrEx>
          <w:shd w:val="clear" w:color="auto" w:fill="auto"/>
        </w:tblPrEx>
        <w:trPr>
          <w:trHeight w:val="360" w:hRule="atLeast"/>
        </w:trPr>
        <w:tc>
          <w:tcPr>
            <w:tcW w:type="dxa" w:w="23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rPr>
              <w:t>Executive Sponsor</w:t>
            </w:r>
          </w:p>
        </w:tc>
        <w:tc>
          <w:tcPr>
            <w:tcW w:type="dxa" w:w="7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lang w:val="en-US"/>
              </w:rPr>
              <w:t>[Placeholder: Executive Sponsor's Name]</w:t>
            </w:r>
            <w:r>
              <w:rPr>
                <w:rFonts w:ascii="Times Roman" w:hAnsi="Times Roman"/>
                <w:b w:val="0"/>
                <w:bCs w:val="0"/>
                <w:sz w:val="24"/>
                <w:szCs w:val="24"/>
                <w:rtl w:val="0"/>
                <w:lang w:val="en-US"/>
              </w:rPr>
              <w:t xml:space="preserve"> (Oversight and Strategic Mandate)</w:t>
            </w:r>
          </w:p>
        </w:tc>
      </w:tr>
      <w:tr>
        <w:tblPrEx>
          <w:shd w:val="clear" w:color="auto" w:fill="auto"/>
        </w:tblPrEx>
        <w:trPr>
          <w:trHeight w:val="360" w:hRule="atLeast"/>
        </w:trPr>
        <w:tc>
          <w:tcPr>
            <w:tcW w:type="dxa" w:w="23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rPr>
              <w:t>Project Manager</w:t>
            </w:r>
          </w:p>
        </w:tc>
        <w:tc>
          <w:tcPr>
            <w:tcW w:type="dxa" w:w="7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lang w:val="de-DE"/>
              </w:rPr>
              <w:t>Kate Herrick</w:t>
            </w:r>
            <w:r>
              <w:rPr>
                <w:rFonts w:ascii="Times Roman" w:hAnsi="Times Roman"/>
                <w:sz w:val="24"/>
                <w:szCs w:val="24"/>
                <w:rtl w:val="0"/>
                <w:lang w:val="en-US"/>
              </w:rPr>
              <w:t xml:space="preserve"> (Execution, Scope Management, Risk Reporting)</w:t>
            </w:r>
          </w:p>
        </w:tc>
      </w:tr>
      <w:tr>
        <w:tblPrEx>
          <w:shd w:val="clear" w:color="auto" w:fill="auto"/>
        </w:tblPrEx>
        <w:trPr>
          <w:trHeight w:val="360" w:hRule="atLeast"/>
        </w:trPr>
        <w:tc>
          <w:tcPr>
            <w:tcW w:type="dxa" w:w="23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rPr>
              <w:t>Technical Lead</w:t>
            </w:r>
          </w:p>
        </w:tc>
        <w:tc>
          <w:tcPr>
            <w:tcW w:type="dxa" w:w="7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lang w:val="en-US"/>
              </w:rPr>
              <w:t>[Placeholder: Technical Lead's Name]</w:t>
            </w:r>
            <w:r>
              <w:rPr>
                <w:rFonts w:ascii="Times Roman" w:hAnsi="Times Roman"/>
                <w:b w:val="0"/>
                <w:bCs w:val="0"/>
                <w:sz w:val="24"/>
                <w:szCs w:val="24"/>
                <w:rtl w:val="0"/>
                <w:lang w:val="en-US"/>
              </w:rPr>
              <w:t xml:space="preserve"> (API/ETL Design and Development)</w:t>
            </w:r>
          </w:p>
        </w:tc>
      </w:tr>
      <w:tr>
        <w:tblPrEx>
          <w:shd w:val="clear" w:color="auto" w:fill="auto"/>
        </w:tblPrEx>
        <w:trPr>
          <w:trHeight w:val="567" w:hRule="atLeast"/>
        </w:trPr>
        <w:tc>
          <w:tcPr>
            <w:tcW w:type="dxa" w:w="23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rPr>
              <w:t>AgriBank Systems Admin</w:t>
            </w:r>
          </w:p>
        </w:tc>
        <w:tc>
          <w:tcPr>
            <w:tcW w:type="dxa" w:w="7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lang w:val="en-US"/>
              </w:rPr>
              <w:t>[Placeholder: Admin's Name]</w:t>
            </w:r>
            <w:r>
              <w:rPr>
                <w:rFonts w:ascii="Times Roman" w:hAnsi="Times Roman"/>
                <w:sz w:val="24"/>
                <w:szCs w:val="24"/>
                <w:rtl w:val="0"/>
                <w:lang w:val="en-US"/>
              </w:rPr>
              <w:t xml:space="preserve"> (Critical resource for ETL modification and sign-off)</w:t>
            </w:r>
          </w:p>
        </w:tc>
      </w:tr>
    </w:tbl>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Authorization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charter authorizes the initiation of the </w:t>
      </w:r>
      <w:r>
        <w:rPr>
          <w:rFonts w:ascii="Times Roman" w:hAnsi="Times Roman"/>
          <w:b w:val="1"/>
          <w:bCs w:val="1"/>
          <w:rtl w:val="0"/>
          <w:lang w:val="en-US"/>
        </w:rPr>
        <w:t>Seedling Automation Expansion</w:t>
      </w:r>
      <w:r>
        <w:rPr>
          <w:rFonts w:ascii="Times Roman" w:hAnsi="Times Roman"/>
          <w:rtl w:val="0"/>
          <w:lang w:val="en-US"/>
        </w:rPr>
        <w:t xml:space="preserve"> project, committing the defined resources and budget toward the goal of mitigating regulatory risk and improving operational efficiency.</w:t>
      </w:r>
    </w:p>
    <w:p>
      <w:pPr>
        <w:pStyle w:val="Default"/>
        <w:numPr>
          <w:ilvl w:val="0"/>
          <w:numId w:val="5"/>
        </w:numPr>
        <w:suppressAutoHyphens w:val="1"/>
        <w:spacing w:before="0" w:after="240" w:line="240" w:lineRule="auto"/>
        <w:jc w:val="left"/>
        <w:rPr>
          <w:rFonts w:ascii="Times Roman" w:hAnsi="Times Roman"/>
          <w:b w:val="1"/>
          <w:bCs w:val="1"/>
          <w:lang w:val="en-US"/>
        </w:rPr>
      </w:pPr>
      <w:r>
        <w:rPr>
          <w:rFonts w:ascii="Times Roman" w:hAnsi="Times Roman"/>
          <w:b w:val="0"/>
          <w:bCs w:val="0"/>
          <w:rtl w:val="0"/>
          <w:lang w:val="en-US"/>
        </w:rPr>
        <w:t xml:space="preserve">Approved By: </w:t>
      </w:r>
      <w:r>
        <w:rPr>
          <w:rFonts w:ascii="Times Roman" w:hAnsi="Times Roman"/>
          <w:b w:val="1"/>
          <w:bCs w:val="1"/>
          <w:rtl w:val="0"/>
          <w:lang w:val="en-US"/>
        </w:rPr>
        <w:t>[Placeholder: Executive Sponsor Signature]</w:t>
      </w:r>
    </w:p>
    <w:p>
      <w:pPr>
        <w:pStyle w:val="Default"/>
        <w:numPr>
          <w:ilvl w:val="0"/>
          <w:numId w:val="5"/>
        </w:numPr>
        <w:suppressAutoHyphens w:val="1"/>
        <w:spacing w:before="0" w:after="240" w:line="240" w:lineRule="auto"/>
        <w:jc w:val="left"/>
        <w:rPr>
          <w:rFonts w:ascii="Times Roman" w:hAnsi="Times Roman"/>
          <w:b w:val="1"/>
          <w:bCs w:val="1"/>
          <w:lang w:val="en-US"/>
        </w:rPr>
      </w:pPr>
      <w:r>
        <w:rPr>
          <w:rFonts w:ascii="Times Roman" w:hAnsi="Times Roman"/>
          <w:b w:val="0"/>
          <w:bCs w:val="0"/>
          <w:rtl w:val="0"/>
          <w:lang w:val="en-US"/>
        </w:rPr>
        <w:t xml:space="preserve">Approved By: </w:t>
      </w:r>
      <w:r>
        <w:rPr>
          <w:rFonts w:ascii="Times Roman" w:hAnsi="Times Roman"/>
          <w:b w:val="1"/>
          <w:bCs w:val="1"/>
          <w:rtl w:val="0"/>
          <w:lang w:val="en-US"/>
        </w:rPr>
        <w:t>[Placeholder: Technical Director Signature]</w:t>
      </w:r>
    </w:p>
    <w:p>
      <w:pPr>
        <w:pStyle w:val="Default"/>
        <w:numPr>
          <w:ilvl w:val="0"/>
          <w:numId w:val="5"/>
        </w:numPr>
        <w:suppressAutoHyphens w:val="1"/>
        <w:spacing w:before="0" w:after="240" w:line="240" w:lineRule="auto"/>
        <w:jc w:val="left"/>
        <w:rPr>
          <w:rFonts w:ascii="Times Roman" w:hAnsi="Times Roman"/>
          <w:b w:val="1"/>
          <w:bCs w:val="1"/>
          <w:lang w:val="en-US"/>
        </w:rPr>
      </w:pPr>
      <w:r>
        <w:rPr>
          <w:rFonts w:ascii="Times Roman" w:hAnsi="Times Roman"/>
          <w:b w:val="0"/>
          <w:bCs w:val="0"/>
          <w:rtl w:val="0"/>
          <w:lang w:val="en-US"/>
        </w:rPr>
        <w:t xml:space="preserve">Approved By: </w:t>
      </w:r>
      <w:r>
        <w:rPr>
          <w:rFonts w:ascii="Times Roman" w:hAnsi="Times Roman"/>
          <w:b w:val="1"/>
          <w:bCs w:val="1"/>
          <w:rtl w:val="0"/>
          <w:lang w:val="en-US"/>
        </w:rPr>
        <w:t>[Placeholder: Project Manager Signature]</w:t>
      </w:r>
    </w:p>
    <w:p>
      <w:pPr>
        <w:pStyle w:val="Default"/>
        <w:suppressAutoHyphens w:val="1"/>
        <w:spacing w:before="0" w:after="240" w:line="240" w:lineRule="auto"/>
      </w:pPr>
      <w:r>
        <w:rPr>
          <w:rFonts w:ascii="Times Roman" w:hAnsi="Times Roman"/>
          <w:rtl w:val="0"/>
          <w:lang w:val="en-US"/>
        </w:rPr>
        <w:t xml:space="preserve">This combined document synthesizes the strategic, technical, and governance components of the </w:t>
      </w:r>
      <w:r>
        <w:rPr>
          <w:rFonts w:ascii="Times Roman" w:hAnsi="Times Roman"/>
          <w:b w:val="1"/>
          <w:bCs w:val="1"/>
          <w:rtl w:val="0"/>
          <w:lang w:val="en-US"/>
        </w:rPr>
        <w:t>Seedling</w:t>
      </w:r>
      <w:r>
        <w:rPr>
          <w:rFonts w:ascii="Times Roman" w:hAnsi="Times Roman"/>
          <w:rtl w:val="0"/>
          <w:lang w:val="en-US"/>
        </w:rPr>
        <w:t xml:space="preserve"> project. We can now proceed to fill in the placeholders for the names, budget, and timeline, or move on to the next phase of detailed planning.</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numbering" w:styleId="Bullet">
    <w:name w:val="Bullet"/>
    <w:pPr>
      <w:numPr>
        <w:numId w:val="3"/>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