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50F9" w14:textId="77777777" w:rsidR="00041113" w:rsidRDefault="00041113" w:rsidP="00041113">
      <w:pPr>
        <w:pStyle w:val="Default"/>
        <w:suppressAutoHyphens/>
        <w:spacing w:before="0" w:after="299" w:line="240" w:lineRule="auto"/>
        <w:rPr>
          <w:rFonts w:ascii="Times New Roman" w:hAnsi="Times New Roman" w:cs="Times New Roman"/>
          <w:b/>
          <w:bCs/>
        </w:rPr>
      </w:pPr>
    </w:p>
    <w:p w14:paraId="332217CA" w14:textId="77777777" w:rsidR="00725A6B" w:rsidRDefault="00725A6B" w:rsidP="007B1919">
      <w:pPr>
        <w:pStyle w:val="Default"/>
        <w:suppressAutoHyphens/>
        <w:spacing w:before="0" w:after="240" w:line="240" w:lineRule="auto"/>
        <w:jc w:val="center"/>
        <w:rPr>
          <w:rFonts w:ascii="Times Roman" w:hAnsi="Times Roman"/>
          <w:b/>
          <w:bCs/>
        </w:rPr>
      </w:pPr>
    </w:p>
    <w:p w14:paraId="5835C41B" w14:textId="77777777" w:rsidR="00725A6B" w:rsidRDefault="00725A6B" w:rsidP="007B1919">
      <w:pPr>
        <w:pStyle w:val="Default"/>
        <w:suppressAutoHyphens/>
        <w:spacing w:before="0" w:after="240" w:line="240" w:lineRule="auto"/>
        <w:jc w:val="center"/>
        <w:rPr>
          <w:rFonts w:ascii="Times Roman" w:hAnsi="Times Roman"/>
          <w:b/>
          <w:bCs/>
        </w:rPr>
      </w:pPr>
    </w:p>
    <w:p w14:paraId="226584A7" w14:textId="77777777" w:rsidR="00725A6B" w:rsidRDefault="00725A6B" w:rsidP="007B1919">
      <w:pPr>
        <w:pStyle w:val="Default"/>
        <w:suppressAutoHyphens/>
        <w:spacing w:before="0" w:after="240" w:line="240" w:lineRule="auto"/>
        <w:jc w:val="center"/>
        <w:rPr>
          <w:rFonts w:ascii="Times Roman" w:hAnsi="Times Roman"/>
          <w:b/>
          <w:bCs/>
        </w:rPr>
      </w:pPr>
    </w:p>
    <w:p w14:paraId="7E714296" w14:textId="21B11B00" w:rsidR="007B1919" w:rsidRDefault="007B1919" w:rsidP="007B1919">
      <w:pPr>
        <w:pStyle w:val="Default"/>
        <w:suppressAutoHyphens/>
        <w:spacing w:before="0" w:after="240" w:line="240" w:lineRule="auto"/>
        <w:jc w:val="center"/>
        <w:rPr>
          <w:rFonts w:ascii="Times Roman" w:eastAsia="Times Roman" w:hAnsi="Times Roman" w:cs="Times Roman"/>
          <w:b/>
          <w:bCs/>
        </w:rPr>
      </w:pPr>
      <w:r>
        <w:rPr>
          <w:rFonts w:ascii="Times Roman" w:hAnsi="Times Roman"/>
          <w:b/>
          <w:bCs/>
        </w:rPr>
        <w:t xml:space="preserve">The Seedling Initiative: </w:t>
      </w:r>
    </w:p>
    <w:p w14:paraId="797DFC0D" w14:textId="77777777" w:rsidR="00B52CFC" w:rsidRDefault="00A7087B" w:rsidP="00A42368">
      <w:pPr>
        <w:suppressAutoHyphens/>
        <w:spacing w:after="240"/>
        <w:jc w:val="center"/>
        <w:rPr>
          <w:b/>
          <w:bCs/>
          <w:color w:val="000000"/>
          <w:bdr w:val="none" w:sz="0" w:space="0" w:color="auto" w:frame="1"/>
          <w14:textOutline w14:w="0" w14:cap="flat" w14:cmpd="sng" w14:algn="ctr">
            <w14:noFill/>
            <w14:prstDash w14:val="solid"/>
            <w14:bevel/>
          </w14:textOutline>
        </w:rPr>
      </w:pPr>
      <w:r>
        <w:rPr>
          <w:b/>
          <w:bCs/>
          <w:color w:val="000000"/>
          <w:bdr w:val="none" w:sz="0" w:space="0" w:color="auto" w:frame="1"/>
          <w14:textOutline w14:w="0" w14:cap="flat" w14:cmpd="sng" w14:algn="ctr">
            <w14:noFill/>
            <w14:prstDash w14:val="solid"/>
            <w14:bevel/>
          </w14:textOutline>
        </w:rPr>
        <w:t xml:space="preserve">A Literature Review </w:t>
      </w:r>
      <w:r w:rsidR="00A42368">
        <w:rPr>
          <w:b/>
          <w:bCs/>
          <w:color w:val="000000"/>
          <w:bdr w:val="none" w:sz="0" w:space="0" w:color="auto" w:frame="1"/>
          <w14:textOutline w14:w="0" w14:cap="flat" w14:cmpd="sng" w14:algn="ctr">
            <w14:noFill/>
            <w14:prstDash w14:val="solid"/>
            <w14:bevel/>
          </w14:textOutline>
        </w:rPr>
        <w:t>of the</w:t>
      </w:r>
      <w:r w:rsidR="00895B65">
        <w:rPr>
          <w:b/>
          <w:bCs/>
          <w:color w:val="000000"/>
          <w:bdr w:val="none" w:sz="0" w:space="0" w:color="auto" w:frame="1"/>
          <w14:textOutline w14:w="0" w14:cap="flat" w14:cmpd="sng" w14:algn="ctr">
            <w14:noFill/>
            <w14:prstDash w14:val="solid"/>
            <w14:bevel/>
          </w14:textOutline>
        </w:rPr>
        <w:t xml:space="preserve"> </w:t>
      </w:r>
      <w:r w:rsidR="00B52CFC">
        <w:rPr>
          <w:b/>
          <w:bCs/>
          <w:color w:val="000000"/>
          <w:bdr w:val="none" w:sz="0" w:space="0" w:color="auto" w:frame="1"/>
          <w14:textOutline w14:w="0" w14:cap="flat" w14:cmpd="sng" w14:algn="ctr">
            <w14:noFill/>
            <w14:prstDash w14:val="solid"/>
            <w14:bevel/>
          </w14:textOutline>
        </w:rPr>
        <w:t xml:space="preserve">Imperatives for and </w:t>
      </w:r>
    </w:p>
    <w:p w14:paraId="7A39861D" w14:textId="0211A1EF" w:rsidR="00A7087B" w:rsidRDefault="00B52CFC" w:rsidP="00A42368">
      <w:pPr>
        <w:suppressAutoHyphens/>
        <w:spacing w:after="240"/>
        <w:jc w:val="center"/>
        <w:rPr>
          <w:b/>
          <w:bCs/>
          <w:color w:val="000000"/>
          <w:bdr w:val="none" w:sz="0" w:space="0" w:color="auto" w:frame="1"/>
          <w14:textOutline w14:w="0" w14:cap="flat" w14:cmpd="sng" w14:algn="ctr">
            <w14:noFill/>
            <w14:prstDash w14:val="solid"/>
            <w14:bevel/>
          </w14:textOutline>
        </w:rPr>
      </w:pPr>
      <w:r>
        <w:rPr>
          <w:b/>
          <w:bCs/>
          <w:color w:val="000000"/>
          <w:bdr w:val="none" w:sz="0" w:space="0" w:color="auto" w:frame="1"/>
          <w14:textOutline w14:w="0" w14:cap="flat" w14:cmpd="sng" w14:algn="ctr">
            <w14:noFill/>
            <w14:prstDash w14:val="solid"/>
            <w14:bevel/>
          </w14:textOutline>
        </w:rPr>
        <w:t>of</w:t>
      </w:r>
      <w:r w:rsidR="00895B65">
        <w:rPr>
          <w:b/>
          <w:bCs/>
          <w:color w:val="000000"/>
          <w:bdr w:val="none" w:sz="0" w:space="0" w:color="auto" w:frame="1"/>
          <w14:textOutline w14:w="0" w14:cap="flat" w14:cmpd="sng" w14:algn="ctr">
            <w14:noFill/>
            <w14:prstDash w14:val="solid"/>
            <w14:bevel/>
          </w14:textOutline>
        </w:rPr>
        <w:t xml:space="preserve"> Digital </w:t>
      </w:r>
      <w:r>
        <w:rPr>
          <w:b/>
          <w:bCs/>
          <w:color w:val="000000"/>
          <w:bdr w:val="none" w:sz="0" w:space="0" w:color="auto" w:frame="1"/>
          <w14:textOutline w14:w="0" w14:cap="flat" w14:cmpd="sng" w14:algn="ctr">
            <w14:noFill/>
            <w14:prstDash w14:val="solid"/>
            <w14:bevel/>
          </w14:textOutline>
        </w:rPr>
        <w:t>Self-Service</w:t>
      </w:r>
    </w:p>
    <w:p w14:paraId="5A9EB70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15E0C29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Kate Herrick</w:t>
      </w:r>
    </w:p>
    <w:p w14:paraId="6A94F68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6FC2D902"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Capella University</w:t>
      </w:r>
    </w:p>
    <w:p w14:paraId="210C098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65D5635E"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IT-FPX 4998</w:t>
      </w:r>
      <w:r>
        <w:rPr>
          <w:rFonts w:ascii="Times Roman" w:hAnsi="Times Roman"/>
          <w:lang w:val="de-DE"/>
        </w:rPr>
        <w:t>: Capstone</w:t>
      </w:r>
      <w:r>
        <w:rPr>
          <w:rFonts w:ascii="Times Roman" w:hAnsi="Times Roman"/>
        </w:rPr>
        <w:t xml:space="preserve"> II</w:t>
      </w:r>
    </w:p>
    <w:p w14:paraId="4651EE41"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502E1D09" w14:textId="77777777"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Site Supervisor: Angela Baughman</w:t>
      </w:r>
    </w:p>
    <w:p w14:paraId="141CD1EA" w14:textId="77777777" w:rsidR="007B1919" w:rsidRDefault="007B1919" w:rsidP="007B1919">
      <w:pPr>
        <w:pStyle w:val="Default"/>
        <w:suppressAutoHyphens/>
        <w:spacing w:before="0" w:after="240" w:line="240" w:lineRule="auto"/>
        <w:jc w:val="center"/>
        <w:rPr>
          <w:rFonts w:ascii="Times Roman" w:eastAsia="Times Roman" w:hAnsi="Times Roman" w:cs="Times Roman"/>
        </w:rPr>
      </w:pPr>
    </w:p>
    <w:p w14:paraId="30ADCA36" w14:textId="3E297300" w:rsidR="007B1919" w:rsidRDefault="007B1919" w:rsidP="007B1919">
      <w:pPr>
        <w:pStyle w:val="Default"/>
        <w:suppressAutoHyphens/>
        <w:spacing w:before="0" w:after="240" w:line="240" w:lineRule="auto"/>
        <w:jc w:val="center"/>
        <w:rPr>
          <w:rFonts w:ascii="Times Roman" w:eastAsia="Times Roman" w:hAnsi="Times Roman" w:cs="Times Roman"/>
        </w:rPr>
      </w:pPr>
      <w:r>
        <w:rPr>
          <w:rFonts w:ascii="Times Roman" w:hAnsi="Times Roman"/>
        </w:rPr>
        <w:t>November 1</w:t>
      </w:r>
      <w:r w:rsidR="00853D76">
        <w:rPr>
          <w:rFonts w:ascii="Times Roman" w:hAnsi="Times Roman"/>
        </w:rPr>
        <w:t>3</w:t>
      </w:r>
      <w:r>
        <w:rPr>
          <w:rFonts w:ascii="Times Roman" w:hAnsi="Times Roman"/>
        </w:rPr>
        <w:t>, 2025</w:t>
      </w:r>
    </w:p>
    <w:p w14:paraId="231BC455" w14:textId="77777777" w:rsidR="00041113" w:rsidRDefault="00041113" w:rsidP="00041113">
      <w:pPr>
        <w:rPr>
          <w:b/>
          <w:bCs/>
          <w:color w:val="000000"/>
          <w14:textOutline w14:w="12700" w14:cap="flat" w14:cmpd="sng" w14:algn="ctr">
            <w14:noFill/>
            <w14:prstDash w14:val="solid"/>
            <w14:miter w14:lim="100000"/>
          </w14:textOutline>
        </w:rPr>
      </w:pPr>
      <w:r>
        <w:rPr>
          <w:b/>
          <w:bCs/>
        </w:rPr>
        <w:br w:type="page"/>
      </w:r>
    </w:p>
    <w:p w14:paraId="7B47B643" w14:textId="3BF8D166" w:rsidR="00041113" w:rsidRDefault="00041113" w:rsidP="00041113">
      <w:pPr>
        <w:pStyle w:val="Default"/>
        <w:suppressAutoHyphens/>
        <w:spacing w:before="0" w:after="240" w:line="240" w:lineRule="auto"/>
        <w:ind w:firstLine="720"/>
        <w:rPr>
          <w:rFonts w:ascii="Times New Roman" w:hAnsi="Times New Roman" w:cs="Times New Roman"/>
        </w:rPr>
      </w:pPr>
    </w:p>
    <w:p w14:paraId="7E77285A" w14:textId="738665B9" w:rsidR="00582DEA" w:rsidRDefault="00582DEA" w:rsidP="00795246">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Seedling Initiative seeks to fundamentally transform Greenfield Financial’s </w:t>
      </w:r>
      <w:r w:rsidR="00021A4E">
        <w:rPr>
          <w:rFonts w:ascii="Times New Roman" w:hAnsi="Times New Roman" w:cs="Times New Roman"/>
        </w:rPr>
        <w:t>most labor-intensive operation: the annual processing of thousands of paper balance sheets. Historically reliant on error-prone manual data entry requiring millions of dollars in transcription labor, this outdated process exposes the organization to data integrity risk and compromises both the employee and the client experience.</w:t>
      </w:r>
    </w:p>
    <w:p w14:paraId="1791BF26" w14:textId="77777777" w:rsidR="008D2ADF"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literature review outline addresses </w:t>
      </w:r>
      <w:r w:rsidR="00611768">
        <w:rPr>
          <w:rFonts w:ascii="Times New Roman" w:hAnsi="Times New Roman" w:cs="Times New Roman"/>
        </w:rPr>
        <w:t>the</w:t>
      </w:r>
      <w:r w:rsidR="00DC47B5">
        <w:rPr>
          <w:rFonts w:ascii="Times New Roman" w:hAnsi="Times New Roman" w:cs="Times New Roman"/>
        </w:rPr>
        <w:t xml:space="preserve"> following topics:</w:t>
      </w:r>
    </w:p>
    <w:p w14:paraId="4B6485E1" w14:textId="01DC0F7F" w:rsidR="00DC47B5" w:rsidRDefault="00DC47B5" w:rsidP="007B0BC4">
      <w:pPr>
        <w:pStyle w:val="Default"/>
        <w:suppressAutoHyphens/>
        <w:spacing w:before="0" w:after="240" w:line="240" w:lineRule="auto"/>
        <w:ind w:left="720" w:firstLine="720"/>
        <w:rPr>
          <w:rFonts w:ascii="Times New Roman" w:hAnsi="Times New Roman" w:cs="Times New Roman"/>
        </w:rPr>
      </w:pPr>
      <w:r>
        <w:rPr>
          <w:rFonts w:ascii="Times New Roman" w:hAnsi="Times New Roman" w:cs="Times New Roman"/>
        </w:rPr>
        <w:br/>
        <w:t>1. The c</w:t>
      </w:r>
      <w:r w:rsidR="00611768">
        <w:rPr>
          <w:rFonts w:ascii="Times New Roman" w:hAnsi="Times New Roman" w:cs="Times New Roman"/>
        </w:rPr>
        <w:t>ompetitive</w:t>
      </w:r>
      <w:r w:rsidR="00041113">
        <w:rPr>
          <w:rFonts w:ascii="Times New Roman" w:hAnsi="Times New Roman" w:cs="Times New Roman"/>
        </w:rPr>
        <w:t xml:space="preserve"> </w:t>
      </w:r>
      <w:r w:rsidR="00D86643">
        <w:rPr>
          <w:rFonts w:ascii="Times New Roman" w:hAnsi="Times New Roman" w:cs="Times New Roman"/>
        </w:rPr>
        <w:t>imperatives for</w:t>
      </w:r>
      <w:r w:rsidR="00611768">
        <w:rPr>
          <w:rFonts w:ascii="Times New Roman" w:hAnsi="Times New Roman" w:cs="Times New Roman"/>
        </w:rPr>
        <w:t xml:space="preserve"> client self-service</w:t>
      </w:r>
      <w:r w:rsidR="00725A6B">
        <w:rPr>
          <w:rFonts w:ascii="Times New Roman" w:hAnsi="Times New Roman" w:cs="Times New Roman"/>
        </w:rPr>
        <w:t>.</w:t>
      </w:r>
    </w:p>
    <w:p w14:paraId="4A6F7083" w14:textId="724B2DDC" w:rsidR="00DC47B5" w:rsidRDefault="00DC47B5"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2. T</w:t>
      </w:r>
      <w:r w:rsidR="00564E45">
        <w:rPr>
          <w:rFonts w:ascii="Times New Roman" w:hAnsi="Times New Roman" w:cs="Times New Roman"/>
        </w:rPr>
        <w:t>he potential obstacles to large-scale</w:t>
      </w:r>
      <w:r w:rsidR="008D2ADF">
        <w:rPr>
          <w:rFonts w:ascii="Times New Roman" w:hAnsi="Times New Roman" w:cs="Times New Roman"/>
        </w:rPr>
        <w:t xml:space="preserve"> client</w:t>
      </w:r>
      <w:r w:rsidR="00564E45">
        <w:rPr>
          <w:rFonts w:ascii="Times New Roman" w:hAnsi="Times New Roman" w:cs="Times New Roman"/>
        </w:rPr>
        <w:t xml:space="preserve"> adoption and utilizatio</w:t>
      </w:r>
      <w:r>
        <w:rPr>
          <w:rFonts w:ascii="Times New Roman" w:hAnsi="Times New Roman" w:cs="Times New Roman"/>
        </w:rPr>
        <w:t>n</w:t>
      </w:r>
      <w:r w:rsidR="008D2ADF">
        <w:rPr>
          <w:rFonts w:ascii="Times New Roman" w:hAnsi="Times New Roman" w:cs="Times New Roman"/>
        </w:rPr>
        <w:t xml:space="preserve"> of self-service</w:t>
      </w:r>
      <w:r w:rsidR="00725A6B">
        <w:rPr>
          <w:rFonts w:ascii="Times New Roman" w:hAnsi="Times New Roman" w:cs="Times New Roman"/>
        </w:rPr>
        <w:t>.</w:t>
      </w:r>
    </w:p>
    <w:p w14:paraId="5392BD41" w14:textId="492B5001" w:rsidR="008D2ADF" w:rsidRDefault="00DC47B5"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3. T</w:t>
      </w:r>
      <w:r w:rsidR="009642F7">
        <w:rPr>
          <w:rFonts w:ascii="Times New Roman" w:hAnsi="Times New Roman" w:cs="Times New Roman"/>
        </w:rPr>
        <w:t>he value</w:t>
      </w:r>
      <w:r w:rsidR="00D534E1">
        <w:rPr>
          <w:rFonts w:ascii="Times New Roman" w:hAnsi="Times New Roman" w:cs="Times New Roman"/>
        </w:rPr>
        <w:t xml:space="preserve"> of and requirements for developing the ETL data pipeline</w:t>
      </w:r>
      <w:r w:rsidR="009642F7">
        <w:rPr>
          <w:rFonts w:ascii="Times New Roman" w:hAnsi="Times New Roman" w:cs="Times New Roman"/>
        </w:rPr>
        <w:t xml:space="preserve"> in pursuit</w:t>
      </w:r>
      <w:r w:rsidR="00764AAB">
        <w:rPr>
          <w:rFonts w:ascii="Times New Roman" w:hAnsi="Times New Roman" w:cs="Times New Roman"/>
        </w:rPr>
        <w:t xml:space="preserve"> of holistic, integrated solutions that </w:t>
      </w:r>
      <w:r w:rsidR="00735A5B">
        <w:rPr>
          <w:rFonts w:ascii="Times New Roman" w:hAnsi="Times New Roman" w:cs="Times New Roman"/>
        </w:rPr>
        <w:t>meet the competitive demand</w:t>
      </w:r>
      <w:r w:rsidR="00725A6B">
        <w:rPr>
          <w:rFonts w:ascii="Times New Roman" w:hAnsi="Times New Roman" w:cs="Times New Roman"/>
        </w:rPr>
        <w:t>.</w:t>
      </w:r>
    </w:p>
    <w:p w14:paraId="092820D4" w14:textId="70CF88BF" w:rsidR="00041113" w:rsidRDefault="008D2ADF" w:rsidP="007B0BC4">
      <w:pPr>
        <w:pStyle w:val="Default"/>
        <w:suppressAutoHyphens/>
        <w:spacing w:before="0" w:after="240" w:line="240" w:lineRule="auto"/>
        <w:ind w:left="720"/>
        <w:rPr>
          <w:rFonts w:ascii="Times New Roman" w:hAnsi="Times New Roman" w:cs="Times New Roman"/>
        </w:rPr>
      </w:pPr>
      <w:r>
        <w:rPr>
          <w:rFonts w:ascii="Times New Roman" w:hAnsi="Times New Roman" w:cs="Times New Roman"/>
        </w:rPr>
        <w:t>4. T</w:t>
      </w:r>
      <w:r w:rsidR="00735A5B">
        <w:rPr>
          <w:rFonts w:ascii="Times New Roman" w:hAnsi="Times New Roman" w:cs="Times New Roman"/>
        </w:rPr>
        <w:t>h</w:t>
      </w:r>
      <w:r w:rsidR="00833391">
        <w:rPr>
          <w:rFonts w:ascii="Times New Roman" w:hAnsi="Times New Roman" w:cs="Times New Roman"/>
        </w:rPr>
        <w:t>e bene</w:t>
      </w:r>
      <w:r w:rsidR="00BA74AA">
        <w:rPr>
          <w:rFonts w:ascii="Times New Roman" w:hAnsi="Times New Roman" w:cs="Times New Roman"/>
        </w:rPr>
        <w:t>fits of data visibility</w:t>
      </w:r>
      <w:r w:rsidR="00EB77E7">
        <w:rPr>
          <w:rFonts w:ascii="Times New Roman" w:hAnsi="Times New Roman" w:cs="Times New Roman"/>
        </w:rPr>
        <w:t xml:space="preserve"> in improving</w:t>
      </w:r>
      <w:r w:rsidR="00725A6B">
        <w:rPr>
          <w:rFonts w:ascii="Times New Roman" w:hAnsi="Times New Roman" w:cs="Times New Roman"/>
        </w:rPr>
        <w:t xml:space="preserve"> </w:t>
      </w:r>
      <w:r w:rsidR="00BA74AA">
        <w:rPr>
          <w:rFonts w:ascii="Times New Roman" w:hAnsi="Times New Roman" w:cs="Times New Roman"/>
        </w:rPr>
        <w:t xml:space="preserve">employee experience in </w:t>
      </w:r>
      <w:r w:rsidR="00FE7591">
        <w:rPr>
          <w:rFonts w:ascii="Times New Roman" w:hAnsi="Times New Roman" w:cs="Times New Roman"/>
        </w:rPr>
        <w:t xml:space="preserve">client </w:t>
      </w:r>
      <w:r w:rsidR="00BA74AA">
        <w:rPr>
          <w:rFonts w:ascii="Times New Roman" w:hAnsi="Times New Roman" w:cs="Times New Roman"/>
        </w:rPr>
        <w:t>service.</w:t>
      </w:r>
    </w:p>
    <w:p w14:paraId="3969B4D3" w14:textId="77777777" w:rsidR="00442193" w:rsidRDefault="00442193" w:rsidP="00041113">
      <w:pPr>
        <w:pStyle w:val="Default"/>
        <w:suppressAutoHyphens/>
        <w:spacing w:before="0" w:after="240" w:line="240" w:lineRule="auto"/>
        <w:ind w:firstLine="720"/>
        <w:rPr>
          <w:rFonts w:ascii="Times New Roman" w:eastAsia="Times Roman" w:hAnsi="Times New Roman" w:cs="Times New Roman"/>
        </w:rPr>
      </w:pPr>
    </w:p>
    <w:p w14:paraId="63801B7D" w14:textId="7D220924" w:rsidR="00041113" w:rsidRDefault="00041113" w:rsidP="00041113">
      <w:pPr>
        <w:pStyle w:val="Default"/>
        <w:suppressAutoHyphens/>
        <w:spacing w:before="0" w:after="281" w:line="240" w:lineRule="auto"/>
        <w:rPr>
          <w:rStyle w:val="SubtleReference"/>
        </w:rPr>
      </w:pPr>
      <w:r>
        <w:rPr>
          <w:rStyle w:val="SubtleReference"/>
        </w:rPr>
        <w:t xml:space="preserve">I. </w:t>
      </w:r>
      <w:r w:rsidR="00442193">
        <w:rPr>
          <w:rStyle w:val="SubtleReference"/>
        </w:rPr>
        <w:t>On-Demand</w:t>
      </w:r>
      <w:r>
        <w:rPr>
          <w:rStyle w:val="SubtleReference"/>
        </w:rPr>
        <w:t xml:space="preserve">: </w:t>
      </w:r>
      <w:r w:rsidR="00BA308E">
        <w:rPr>
          <w:rStyle w:val="SubtleReference"/>
        </w:rPr>
        <w:t>The Competitive Necessity of Digital Self-Service</w:t>
      </w:r>
    </w:p>
    <w:p w14:paraId="44AB6646" w14:textId="04E10894" w:rsidR="00041113"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theme reviews research concerning </w:t>
      </w:r>
      <w:r w:rsidR="00BA308E">
        <w:rPr>
          <w:rFonts w:ascii="Times New Roman" w:hAnsi="Times New Roman" w:cs="Times New Roman"/>
        </w:rPr>
        <w:t xml:space="preserve">ongoing trends in the financial services sector centered on </w:t>
      </w:r>
      <w:r w:rsidR="004F3983">
        <w:rPr>
          <w:rFonts w:ascii="Times New Roman" w:hAnsi="Times New Roman" w:cs="Times New Roman"/>
        </w:rPr>
        <w:t>developing</w:t>
      </w:r>
      <w:r w:rsidR="00BA308E">
        <w:rPr>
          <w:rFonts w:ascii="Times New Roman" w:hAnsi="Times New Roman" w:cs="Times New Roman"/>
        </w:rPr>
        <w:t xml:space="preserve"> client self-service</w:t>
      </w:r>
      <w:r w:rsidR="00A10BB2">
        <w:rPr>
          <w:rFonts w:ascii="Times New Roman" w:hAnsi="Times New Roman" w:cs="Times New Roman"/>
        </w:rPr>
        <w:t xml:space="preserve"> as a d</w:t>
      </w:r>
      <w:r w:rsidR="005148CA">
        <w:rPr>
          <w:rFonts w:ascii="Times New Roman" w:hAnsi="Times New Roman" w:cs="Times New Roman"/>
        </w:rPr>
        <w:t xml:space="preserve">ifferentiator. The modern financial services sector </w:t>
      </w:r>
      <w:r w:rsidR="00777E58">
        <w:rPr>
          <w:rFonts w:ascii="Times New Roman" w:hAnsi="Times New Roman" w:cs="Times New Roman"/>
        </w:rPr>
        <w:t xml:space="preserve">has been moving away from manual processes for decades, and </w:t>
      </w:r>
      <w:r w:rsidR="001A0A16">
        <w:rPr>
          <w:rFonts w:ascii="Times New Roman" w:hAnsi="Times New Roman" w:cs="Times New Roman"/>
        </w:rPr>
        <w:t>Greenfiel</w:t>
      </w:r>
      <w:r w:rsidR="00AF2DFD">
        <w:rPr>
          <w:rFonts w:ascii="Times New Roman" w:hAnsi="Times New Roman" w:cs="Times New Roman"/>
        </w:rPr>
        <w:t xml:space="preserve">d’s manual </w:t>
      </w:r>
      <w:r w:rsidR="0037346D">
        <w:rPr>
          <w:rFonts w:ascii="Times New Roman" w:hAnsi="Times New Roman" w:cs="Times New Roman"/>
        </w:rPr>
        <w:t>processes</w:t>
      </w:r>
      <w:r w:rsidR="00AF2DFD">
        <w:rPr>
          <w:rFonts w:ascii="Times New Roman" w:hAnsi="Times New Roman" w:cs="Times New Roman"/>
        </w:rPr>
        <w:t xml:space="preserve"> are a fundamental competitive weakness. The research relative to the competitive necessity for automation and client self-service </w:t>
      </w:r>
      <w:r w:rsidR="0037346D">
        <w:rPr>
          <w:rFonts w:ascii="Times New Roman" w:hAnsi="Times New Roman" w:cs="Times New Roman"/>
        </w:rPr>
        <w:t>provides ample justification for the Seedling project.</w:t>
      </w:r>
    </w:p>
    <w:p w14:paraId="7E7F596D" w14:textId="77777777" w:rsidR="00041113" w:rsidRDefault="00041113" w:rsidP="00041113">
      <w:pPr>
        <w:pStyle w:val="Default"/>
        <w:suppressAutoHyphens/>
        <w:spacing w:before="0" w:after="240" w:line="240" w:lineRule="auto"/>
        <w:ind w:firstLine="720"/>
        <w:rPr>
          <w:rFonts w:ascii="Times New Roman" w:eastAsia="Times Roman" w:hAnsi="Times New Roman" w:cs="Times New Roman"/>
        </w:rPr>
      </w:pPr>
    </w:p>
    <w:p w14:paraId="7696AE2B" w14:textId="216B8AA3" w:rsidR="00041113" w:rsidRPr="00444225" w:rsidRDefault="00041113" w:rsidP="00041113">
      <w:pPr>
        <w:pStyle w:val="Default"/>
        <w:suppressAutoHyphens/>
        <w:spacing w:before="0" w:after="240" w:line="240" w:lineRule="auto"/>
        <w:rPr>
          <w:rStyle w:val="SubtleReference"/>
        </w:rPr>
      </w:pPr>
      <w:r w:rsidRPr="00444225">
        <w:rPr>
          <w:rStyle w:val="SubtleReference"/>
        </w:rPr>
        <w:t xml:space="preserve">Resource Topic: </w:t>
      </w:r>
      <w:r w:rsidR="00444225" w:rsidRPr="00444225">
        <w:rPr>
          <w:rStyle w:val="SubtleReference"/>
        </w:rPr>
        <w:t>Digital Transformation as the New Co</w:t>
      </w:r>
      <w:r w:rsidR="00444225">
        <w:rPr>
          <w:rStyle w:val="SubtleReference"/>
        </w:rPr>
        <w:t>mpetitive Differentiator</w:t>
      </w:r>
    </w:p>
    <w:p w14:paraId="2EBFF990" w14:textId="77777777" w:rsidR="00CB0F8B" w:rsidRDefault="00D425DB" w:rsidP="00CB0F8B">
      <w:r w:rsidRPr="006B0BF6">
        <w:t>Pazar</w:t>
      </w:r>
      <w:r w:rsidR="0000031C" w:rsidRPr="006B0BF6">
        <w:t xml:space="preserve">basioglu, C., Mora, A.G., Uttamchandani, M., Natarajan, H., </w:t>
      </w:r>
      <w:r w:rsidR="00052CB9" w:rsidRPr="006B0BF6">
        <w:t xml:space="preserve">Feyen, E., </w:t>
      </w:r>
      <w:r w:rsidR="006B0BF6" w:rsidRPr="006B0BF6">
        <w:t xml:space="preserve">&amp; Saal, M. </w:t>
      </w:r>
    </w:p>
    <w:p w14:paraId="008D9DFD" w14:textId="49F3F30C" w:rsidR="00041113" w:rsidRDefault="006B0BF6" w:rsidP="00CB0F8B">
      <w:pPr>
        <w:ind w:firstLine="720"/>
      </w:pPr>
      <w:r w:rsidRPr="006B0BF6">
        <w:t>(2020).</w:t>
      </w:r>
      <w:r w:rsidR="00CB0F8B">
        <w:t xml:space="preserve"> </w:t>
      </w:r>
      <w:r w:rsidRPr="006B0BF6">
        <w:t xml:space="preserve">Digital financial services. </w:t>
      </w:r>
      <w:r w:rsidRPr="006B0BF6">
        <w:rPr>
          <w:i/>
          <w:iCs/>
        </w:rPr>
        <w:t>World Bank</w:t>
      </w:r>
      <w:r>
        <w:t>, 54(1), 1-54.</w:t>
      </w:r>
    </w:p>
    <w:p w14:paraId="4D479F60" w14:textId="77777777" w:rsidR="00CB0F8B" w:rsidRPr="00CB0F8B" w:rsidRDefault="00CB0F8B" w:rsidP="00CB0F8B">
      <w:pPr>
        <w:rPr>
          <w:rStyle w:val="None"/>
        </w:rPr>
      </w:pPr>
    </w:p>
    <w:p w14:paraId="20BA808F" w14:textId="7AC80BB2" w:rsidR="00041113" w:rsidRDefault="00C516BF" w:rsidP="00041113">
      <w:pPr>
        <w:pStyle w:val="Default"/>
        <w:suppressAutoHyphens/>
        <w:spacing w:before="0" w:after="240" w:line="240" w:lineRule="auto"/>
        <w:ind w:firstLine="720"/>
        <w:rPr>
          <w:rFonts w:ascii="Times New Roman" w:hAnsi="Times New Roman" w:cs="Times New Roman"/>
        </w:rPr>
      </w:pPr>
      <w:r w:rsidRPr="00C516BF">
        <w:rPr>
          <w:rFonts w:ascii="Times New Roman" w:hAnsi="Times New Roman" w:cs="Times New Roman"/>
        </w:rPr>
        <w:t>The World Bank's whitepaper on Digital Financial Services (DFS) provides the economic and strategic justification for the Seedling Initiative by establishing that traditional, manual, and physical processes represent an unsustainabl</w:t>
      </w:r>
      <w:r w:rsidR="00E5750C">
        <w:rPr>
          <w:rFonts w:ascii="Times New Roman" w:hAnsi="Times New Roman" w:cs="Times New Roman"/>
        </w:rPr>
        <w:t>y</w:t>
      </w:r>
      <w:r w:rsidRPr="00C516BF">
        <w:rPr>
          <w:rFonts w:ascii="Times New Roman" w:hAnsi="Times New Roman" w:cs="Times New Roman"/>
        </w:rPr>
        <w:t xml:space="preserve"> high cost-to-serve model in modern finance. Pazarbasioglu et al. (2020) argue that the shift to DFS is driven by the imperative to increase operational efficiency and stability by digitizing and automating human labor. This principle validates Greenfield Financial's strategic decision: the $3 million annual cost of marshaling internal resources to manually process paper balance sheets is precisely the type of operational friction that DFS architecture is designed to eliminate. By replacing the paper-based intake with a secure, automated digital portal and the required integration layer, the Seedling Initiative transitions Greenfield Financial from an outdated, expensive service delivery model to a </w:t>
      </w:r>
      <w:r w:rsidRPr="00C516BF">
        <w:rPr>
          <w:rFonts w:ascii="Times New Roman" w:hAnsi="Times New Roman" w:cs="Times New Roman"/>
        </w:rPr>
        <w:lastRenderedPageBreak/>
        <w:t>competitive, low-cost platform that simultaneously manages regulatory risk and fosters client satisfaction.</w:t>
      </w:r>
    </w:p>
    <w:p w14:paraId="2E76F6F0" w14:textId="77777777" w:rsidR="00CB0F8B" w:rsidRDefault="00CB0F8B" w:rsidP="00041113">
      <w:pPr>
        <w:pStyle w:val="Default"/>
        <w:suppressAutoHyphens/>
        <w:spacing w:before="0" w:after="240" w:line="240" w:lineRule="auto"/>
        <w:ind w:firstLine="720"/>
        <w:rPr>
          <w:rFonts w:ascii="Times New Roman" w:eastAsia="Times Roman" w:hAnsi="Times New Roman" w:cs="Times New Roman"/>
        </w:rPr>
      </w:pPr>
    </w:p>
    <w:p w14:paraId="5B3AE1E9" w14:textId="77777777" w:rsidR="00F6711B" w:rsidRDefault="00F6711B" w:rsidP="0044345A">
      <w:pPr>
        <w:pStyle w:val="Default"/>
        <w:suppressAutoHyphens/>
        <w:spacing w:before="0" w:after="240" w:line="240" w:lineRule="auto"/>
        <w:rPr>
          <w:rStyle w:val="SubtleReference"/>
        </w:rPr>
      </w:pPr>
    </w:p>
    <w:p w14:paraId="4446D19B" w14:textId="7BB7F4E5" w:rsidR="0044345A" w:rsidRDefault="0044345A" w:rsidP="0044345A">
      <w:pPr>
        <w:pStyle w:val="Default"/>
        <w:suppressAutoHyphens/>
        <w:spacing w:before="0" w:after="240" w:line="240" w:lineRule="auto"/>
        <w:rPr>
          <w:rStyle w:val="SubtleReference"/>
        </w:rPr>
      </w:pPr>
      <w:r>
        <w:rPr>
          <w:rStyle w:val="SubtleReference"/>
        </w:rPr>
        <w:t>Resource Topic: Competition and Digital Infrastructure</w:t>
      </w:r>
    </w:p>
    <w:p w14:paraId="6BE3EF16" w14:textId="77777777" w:rsidR="0044345A" w:rsidRDefault="0044345A" w:rsidP="0044345A">
      <w:pPr>
        <w:rPr>
          <w:i/>
          <w:iCs/>
        </w:rPr>
      </w:pPr>
      <w:r w:rsidRPr="00BF4452">
        <w:t>Wewege, L., Lee, J., &amp;Thomsett, M.C. (2020). Disruptions and digital banking trends.</w:t>
      </w:r>
      <w:r>
        <w:rPr>
          <w:i/>
          <w:iCs/>
        </w:rPr>
        <w:t xml:space="preserve"> Journal of</w:t>
      </w:r>
    </w:p>
    <w:p w14:paraId="22581FA5" w14:textId="77777777" w:rsidR="0044345A" w:rsidRDefault="0044345A" w:rsidP="0044345A">
      <w:pPr>
        <w:ind w:firstLine="720"/>
      </w:pPr>
      <w:r>
        <w:rPr>
          <w:i/>
          <w:iCs/>
        </w:rPr>
        <w:t>Applied Finance and Banking, 10</w:t>
      </w:r>
      <w:r w:rsidRPr="00B15974">
        <w:t>(6), 15-56.</w:t>
      </w:r>
    </w:p>
    <w:p w14:paraId="29C2D223" w14:textId="77777777" w:rsidR="0044345A" w:rsidRDefault="0044345A" w:rsidP="0044345A">
      <w:pPr>
        <w:ind w:firstLine="720"/>
        <w:rPr>
          <w:rStyle w:val="None"/>
        </w:rPr>
      </w:pPr>
    </w:p>
    <w:p w14:paraId="11A29E26" w14:textId="46331C47" w:rsidR="0044345A" w:rsidRDefault="0044345A" w:rsidP="0044345A">
      <w:pPr>
        <w:pStyle w:val="Default"/>
        <w:suppressAutoHyphens/>
        <w:spacing w:before="0" w:line="240" w:lineRule="auto"/>
        <w:ind w:firstLine="720"/>
        <w:rPr>
          <w:rFonts w:ascii="Times New Roman" w:hAnsi="Times New Roman" w:cs="Times New Roman"/>
        </w:rPr>
      </w:pPr>
      <w:r w:rsidRPr="005368A9">
        <w:rPr>
          <w:rFonts w:ascii="Times New Roman" w:hAnsi="Times New Roman" w:cs="Times New Roman"/>
        </w:rPr>
        <w:t>The paper </w:t>
      </w:r>
      <w:r>
        <w:rPr>
          <w:rFonts w:ascii="Times New Roman" w:hAnsi="Times New Roman" w:cs="Times New Roman"/>
        </w:rPr>
        <w:t>“</w:t>
      </w:r>
      <w:r w:rsidRPr="005368A9">
        <w:rPr>
          <w:rFonts w:ascii="Times New Roman" w:hAnsi="Times New Roman" w:cs="Times New Roman"/>
        </w:rPr>
        <w:t>Disruptions and Digital Banking Trends</w:t>
      </w:r>
      <w:r>
        <w:rPr>
          <w:rFonts w:ascii="Times New Roman" w:hAnsi="Times New Roman" w:cs="Times New Roman"/>
        </w:rPr>
        <w:t>”</w:t>
      </w:r>
      <w:r w:rsidRPr="005368A9">
        <w:rPr>
          <w:rFonts w:ascii="Times New Roman" w:hAnsi="Times New Roman" w:cs="Times New Roman"/>
        </w:rPr>
        <w:t xml:space="preserve"> provides </w:t>
      </w:r>
      <w:r>
        <w:rPr>
          <w:rFonts w:ascii="Times New Roman" w:hAnsi="Times New Roman" w:cs="Times New Roman"/>
        </w:rPr>
        <w:t>additional</w:t>
      </w:r>
      <w:r w:rsidRPr="005368A9">
        <w:rPr>
          <w:rFonts w:ascii="Times New Roman" w:hAnsi="Times New Roman" w:cs="Times New Roman"/>
        </w:rPr>
        <w:t xml:space="preserve"> justification for the Seedling </w:t>
      </w:r>
      <w:r>
        <w:rPr>
          <w:rFonts w:ascii="Times New Roman" w:hAnsi="Times New Roman" w:cs="Times New Roman"/>
        </w:rPr>
        <w:t>project</w:t>
      </w:r>
      <w:r w:rsidRPr="005368A9">
        <w:rPr>
          <w:rFonts w:ascii="Times New Roman" w:hAnsi="Times New Roman" w:cs="Times New Roman"/>
        </w:rPr>
        <w:t> by establishing that the future competitiveness of financial institutions hinges on the deployment of a digital infrastructure that enables seamless data sharing and connectivity. Wewege et al. (2020) explicitly argue that the transition to modern digital banking is driven by the standardization of internal and external APIs, which facilitate partnerships, enhance cybersecurity, and meet customer demands for faster and more convenient services. By developing an automated digital intake form and implementing robust API-driven data exchange with Salesforce and ETL integration to AgriBank, the Seedling Initiative transforms Greenfield Financial’s client balance sheet process from an outdated, high-risk manual workflow into a future-ready model. This moves the organization beyond simply digitizing paper to embracing the interoperability required for modern banking, positioning it for strategic collaboration and operational excellence in a maturing FinTech ecosystem.</w:t>
      </w:r>
    </w:p>
    <w:p w14:paraId="08D684E5" w14:textId="77777777" w:rsidR="007B0BC4" w:rsidRDefault="007B0BC4" w:rsidP="0044345A">
      <w:pPr>
        <w:pStyle w:val="Default"/>
        <w:suppressAutoHyphens/>
        <w:spacing w:before="0" w:line="240" w:lineRule="auto"/>
        <w:ind w:firstLine="720"/>
        <w:rPr>
          <w:rFonts w:ascii="Times New Roman" w:hAnsi="Times New Roman" w:cs="Times New Roman"/>
        </w:rPr>
      </w:pPr>
    </w:p>
    <w:p w14:paraId="43983C8E" w14:textId="77777777" w:rsidR="00611768" w:rsidRDefault="00611768" w:rsidP="0044345A">
      <w:pPr>
        <w:pStyle w:val="Default"/>
        <w:suppressAutoHyphens/>
        <w:spacing w:before="0" w:line="240" w:lineRule="auto"/>
        <w:ind w:firstLine="720"/>
        <w:rPr>
          <w:rFonts w:ascii="Times New Roman" w:hAnsi="Times New Roman" w:cs="Times New Roman"/>
        </w:rPr>
      </w:pPr>
    </w:p>
    <w:p w14:paraId="42841D09" w14:textId="77777777" w:rsidR="00611768" w:rsidRPr="0044345A" w:rsidRDefault="00611768" w:rsidP="00611768">
      <w:pPr>
        <w:pStyle w:val="Default"/>
        <w:suppressAutoHyphens/>
        <w:spacing w:before="0" w:line="240" w:lineRule="auto"/>
        <w:rPr>
          <w:rStyle w:val="SubtleReference"/>
          <w:rFonts w:ascii="Times New Roman" w:eastAsia="Times Roman" w:hAnsi="Times New Roman" w:cs="Times New Roman"/>
          <w:smallCaps w:val="0"/>
          <w:color w:val="808080"/>
        </w:rPr>
      </w:pPr>
    </w:p>
    <w:p w14:paraId="7DAD30FA" w14:textId="19C43115" w:rsidR="00611768" w:rsidRDefault="00611768" w:rsidP="00611768">
      <w:pPr>
        <w:pStyle w:val="Default"/>
        <w:suppressAutoHyphens/>
        <w:spacing w:before="0" w:after="281" w:line="240" w:lineRule="auto"/>
        <w:rPr>
          <w:rStyle w:val="SubtleReference"/>
        </w:rPr>
      </w:pPr>
      <w:r>
        <w:rPr>
          <w:rStyle w:val="SubtleReference"/>
        </w:rPr>
        <w:t xml:space="preserve">II. </w:t>
      </w:r>
      <w:r w:rsidR="00D43EEB">
        <w:rPr>
          <w:rStyle w:val="SubtleReference"/>
        </w:rPr>
        <w:t>Build it and They Will Come</w:t>
      </w:r>
      <w:r>
        <w:rPr>
          <w:rStyle w:val="SubtleReference"/>
        </w:rPr>
        <w:t xml:space="preserve">: </w:t>
      </w:r>
      <w:r w:rsidR="00D43EEB">
        <w:rPr>
          <w:rStyle w:val="SubtleReference"/>
        </w:rPr>
        <w:t>Overcoming Resistance and Encouraging Adoption</w:t>
      </w:r>
    </w:p>
    <w:p w14:paraId="783CD75C" w14:textId="00662610" w:rsidR="00611768" w:rsidRDefault="00611768" w:rsidP="00611768">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This theme reviews research </w:t>
      </w:r>
      <w:r w:rsidR="006D2412">
        <w:rPr>
          <w:rFonts w:ascii="Times New Roman" w:hAnsi="Times New Roman" w:cs="Times New Roman"/>
        </w:rPr>
        <w:t xml:space="preserve">related to </w:t>
      </w:r>
      <w:r w:rsidR="005225CF">
        <w:rPr>
          <w:rFonts w:ascii="Times New Roman" w:hAnsi="Times New Roman" w:cs="Times New Roman"/>
        </w:rPr>
        <w:t xml:space="preserve">the obstacles posed by </w:t>
      </w:r>
      <w:r w:rsidR="000461AC">
        <w:rPr>
          <w:rFonts w:ascii="Times New Roman" w:hAnsi="Times New Roman" w:cs="Times New Roman"/>
        </w:rPr>
        <w:t>end-user</w:t>
      </w:r>
      <w:r w:rsidR="005225CF">
        <w:rPr>
          <w:rFonts w:ascii="Times New Roman" w:hAnsi="Times New Roman" w:cs="Times New Roman"/>
        </w:rPr>
        <w:t xml:space="preserve"> resistance to technological adoption in the financial services space. </w:t>
      </w:r>
      <w:r w:rsidR="00D732A6">
        <w:rPr>
          <w:rFonts w:ascii="Times New Roman" w:hAnsi="Times New Roman" w:cs="Times New Roman"/>
        </w:rPr>
        <w:t>The Seedling project is dependent on the establishment of client portal enrollment and participation KPIs targeted at improving lagging client engagement</w:t>
      </w:r>
      <w:r w:rsidR="00801A0A">
        <w:rPr>
          <w:rFonts w:ascii="Times New Roman" w:hAnsi="Times New Roman" w:cs="Times New Roman"/>
        </w:rPr>
        <w:t xml:space="preserve">, providing a large enough user base to justify the project. </w:t>
      </w:r>
      <w:r w:rsidR="00D732A6">
        <w:rPr>
          <w:rFonts w:ascii="Times New Roman" w:hAnsi="Times New Roman" w:cs="Times New Roman"/>
        </w:rPr>
        <w:t xml:space="preserve"> By examining digital adoption resistance in the literature, </w:t>
      </w:r>
      <w:r w:rsidR="008516AF">
        <w:rPr>
          <w:rFonts w:ascii="Times New Roman" w:hAnsi="Times New Roman" w:cs="Times New Roman"/>
        </w:rPr>
        <w:t xml:space="preserve">justification for </w:t>
      </w:r>
      <w:r w:rsidR="00AB719C">
        <w:rPr>
          <w:rFonts w:ascii="Times New Roman" w:hAnsi="Times New Roman" w:cs="Times New Roman"/>
        </w:rPr>
        <w:t>developing a balance sheet user experience that is intuitive and user-centric</w:t>
      </w:r>
      <w:r w:rsidR="007907D1">
        <w:rPr>
          <w:rFonts w:ascii="Times New Roman" w:hAnsi="Times New Roman" w:cs="Times New Roman"/>
        </w:rPr>
        <w:t xml:space="preserve"> </w:t>
      </w:r>
      <w:r w:rsidR="000E755B">
        <w:rPr>
          <w:rFonts w:ascii="Times New Roman" w:hAnsi="Times New Roman" w:cs="Times New Roman"/>
        </w:rPr>
        <w:t>can be established by exploring proven models</w:t>
      </w:r>
      <w:r w:rsidR="001C5060">
        <w:rPr>
          <w:rFonts w:ascii="Times New Roman" w:hAnsi="Times New Roman" w:cs="Times New Roman"/>
        </w:rPr>
        <w:t xml:space="preserve"> such as</w:t>
      </w:r>
      <w:r w:rsidR="000E755B">
        <w:rPr>
          <w:rFonts w:ascii="Times New Roman" w:hAnsi="Times New Roman" w:cs="Times New Roman"/>
        </w:rPr>
        <w:t xml:space="preserve"> the Technology Acceptance Model (TAM)</w:t>
      </w:r>
      <w:r w:rsidR="001C5060">
        <w:rPr>
          <w:rFonts w:ascii="Times New Roman" w:hAnsi="Times New Roman" w:cs="Times New Roman"/>
        </w:rPr>
        <w:t xml:space="preserve"> in a bid to understand the root causes of resistance</w:t>
      </w:r>
      <w:r w:rsidR="00FF4CBE">
        <w:rPr>
          <w:rFonts w:ascii="Times New Roman" w:hAnsi="Times New Roman" w:cs="Times New Roman"/>
        </w:rPr>
        <w:t xml:space="preserve"> and to incorporate development approaches that transform hesitancy into enthusiastic utilization.</w:t>
      </w:r>
    </w:p>
    <w:p w14:paraId="782357C7" w14:textId="77777777" w:rsidR="0044345A" w:rsidRDefault="0044345A" w:rsidP="00041113">
      <w:pPr>
        <w:pStyle w:val="Default"/>
        <w:suppressAutoHyphens/>
        <w:spacing w:before="0" w:after="240" w:line="240" w:lineRule="auto"/>
        <w:rPr>
          <w:rStyle w:val="SubtleReference"/>
        </w:rPr>
      </w:pPr>
    </w:p>
    <w:p w14:paraId="2DE2BF3F" w14:textId="2699DF96" w:rsidR="00041113" w:rsidRDefault="00041113" w:rsidP="00041113">
      <w:pPr>
        <w:pStyle w:val="Default"/>
        <w:suppressAutoHyphens/>
        <w:spacing w:before="0" w:after="240" w:line="240" w:lineRule="auto"/>
        <w:rPr>
          <w:rStyle w:val="SubtleReference"/>
        </w:rPr>
      </w:pPr>
      <w:r>
        <w:rPr>
          <w:rStyle w:val="SubtleReference"/>
        </w:rPr>
        <w:t xml:space="preserve">Resource Topic: </w:t>
      </w:r>
      <w:r w:rsidR="00CA114C">
        <w:rPr>
          <w:rStyle w:val="SubtleReference"/>
        </w:rPr>
        <w:t>Self-Service Adoption Resistance and the Digital Divide</w:t>
      </w:r>
    </w:p>
    <w:p w14:paraId="12A754E4" w14:textId="77777777" w:rsidR="00281654" w:rsidRDefault="003101D7" w:rsidP="00281654">
      <w:pPr>
        <w:rPr>
          <w:rStyle w:val="None"/>
        </w:rPr>
      </w:pPr>
      <w:r w:rsidRPr="00AF74C7">
        <w:rPr>
          <w:rStyle w:val="None"/>
        </w:rPr>
        <w:t>Loke</w:t>
      </w:r>
      <w:r w:rsidR="00AF74C7" w:rsidRPr="00AF74C7">
        <w:rPr>
          <w:rStyle w:val="None"/>
        </w:rPr>
        <w:t>, Y</w:t>
      </w:r>
      <w:r w:rsidR="00AF74C7">
        <w:rPr>
          <w:rStyle w:val="None"/>
        </w:rPr>
        <w:t>.J., Lee, H.S.H. &amp; Chin, P.N. (2025). Bridging the digital divide in the adoption of</w:t>
      </w:r>
    </w:p>
    <w:p w14:paraId="3D65FCD3" w14:textId="77777777" w:rsidR="00281654" w:rsidRDefault="00AF74C7" w:rsidP="00281654">
      <w:pPr>
        <w:ind w:left="720"/>
        <w:rPr>
          <w:rStyle w:val="None"/>
        </w:rPr>
      </w:pPr>
      <w:r>
        <w:rPr>
          <w:rStyle w:val="None"/>
        </w:rPr>
        <w:t xml:space="preserve">digital financial services. </w:t>
      </w:r>
      <w:r w:rsidR="00A82D93" w:rsidRPr="00343573">
        <w:rPr>
          <w:rStyle w:val="None"/>
          <w:i/>
          <w:iCs/>
        </w:rPr>
        <w:t>Journal of Asian Business and Economic Studies</w:t>
      </w:r>
      <w:r w:rsidR="00A82D93">
        <w:rPr>
          <w:rStyle w:val="None"/>
        </w:rPr>
        <w:t>, Vol. 32 No. 2 pp. 82-92</w:t>
      </w:r>
      <w:r w:rsidR="00BC476E">
        <w:rPr>
          <w:rStyle w:val="None"/>
        </w:rPr>
        <w:t>.</w:t>
      </w:r>
      <w:r w:rsidR="00A82D93">
        <w:rPr>
          <w:rStyle w:val="None"/>
        </w:rPr>
        <w:t xml:space="preserve"> </w:t>
      </w:r>
      <w:hyperlink r:id="rId4" w:history="1">
        <w:r w:rsidR="00832B6A" w:rsidRPr="00B955B1">
          <w:rPr>
            <w:rStyle w:val="Hyperlink"/>
          </w:rPr>
          <w:t>https://doi.org/10.1108/JABES-04-2024-0183</w:t>
        </w:r>
      </w:hyperlink>
    </w:p>
    <w:p w14:paraId="1647BDB1" w14:textId="77777777" w:rsidR="00281654" w:rsidRDefault="00281654" w:rsidP="00281654">
      <w:pPr>
        <w:rPr>
          <w:rStyle w:val="None"/>
        </w:rPr>
      </w:pPr>
    </w:p>
    <w:p w14:paraId="2F7EA86B" w14:textId="5DC88688" w:rsidR="00041113" w:rsidRDefault="00821BE4" w:rsidP="00281654">
      <w:pPr>
        <w:ind w:firstLine="720"/>
      </w:pPr>
      <w:r w:rsidRPr="00821BE4">
        <w:lastRenderedPageBreak/>
        <w:t xml:space="preserve">Research focused on the digital divide in financial service adoption confirms that the transition to digital self-service platforms is heavily influenced by non-literacy factors such as socio-demographic context, access to technology, and established behavioral resistance to new interfaces. For the Seedling Initiative, where the $3 million cost savings </w:t>
      </w:r>
      <w:r w:rsidR="00364A29">
        <w:t>hinge</w:t>
      </w:r>
      <w:r w:rsidRPr="00821BE4">
        <w:t xml:space="preserve"> on clients moving away from the familiar paper form, the literature helps frame the challenge: the high financial literacy of agricultural-sector business owners means their reluctance is not due to an inability to understand the </w:t>
      </w:r>
      <w:r w:rsidR="001B3A2F">
        <w:t xml:space="preserve">portal’s function, but </w:t>
      </w:r>
      <w:r w:rsidR="00083E30">
        <w:t>likely relates to a lack of utility.</w:t>
      </w:r>
      <w:r w:rsidRPr="00821BE4">
        <w:t xml:space="preserve"> To bridge this "digital divide," the project cannot simply digitize the old form; it must prioritize a user experience that is simple, visually trustworthy, and technically robust. By </w:t>
      </w:r>
      <w:r w:rsidR="00256206">
        <w:t xml:space="preserve">encouraging enrollment </w:t>
      </w:r>
      <w:r w:rsidR="0041248C">
        <w:t>in</w:t>
      </w:r>
      <w:r w:rsidR="00256206">
        <w:t xml:space="preserve"> the existing client portal and then </w:t>
      </w:r>
      <w:r w:rsidRPr="00821BE4">
        <w:t>implementing a</w:t>
      </w:r>
      <w:r w:rsidR="00A6504C">
        <w:t xml:space="preserve">n </w:t>
      </w:r>
      <w:r w:rsidRPr="00821BE4">
        <w:t>easy-to-use dig</w:t>
      </w:r>
      <w:r w:rsidR="00A6504C">
        <w:t>ital balance sheet experience</w:t>
      </w:r>
      <w:r w:rsidRPr="00821BE4">
        <w:t>, the Seedling Initiative directly mitigates the behavioral risk of low adoption, thus securing the operational efficiencies and cost savings outlined in the project's charter.</w:t>
      </w:r>
    </w:p>
    <w:p w14:paraId="0CCFCF5F" w14:textId="77777777" w:rsidR="00364A29" w:rsidRDefault="00364A29" w:rsidP="00364A29"/>
    <w:p w14:paraId="74B566BF" w14:textId="6B21756E" w:rsidR="00364A29" w:rsidRDefault="00364A29" w:rsidP="00364A29">
      <w:pPr>
        <w:pStyle w:val="Default"/>
        <w:suppressAutoHyphens/>
        <w:spacing w:before="0" w:after="240" w:line="240" w:lineRule="auto"/>
        <w:rPr>
          <w:rStyle w:val="SubtleReference"/>
        </w:rPr>
      </w:pPr>
      <w:r>
        <w:rPr>
          <w:rStyle w:val="SubtleReference"/>
        </w:rPr>
        <w:t xml:space="preserve">Resource Topic: </w:t>
      </w:r>
      <w:r w:rsidR="00191EC0">
        <w:rPr>
          <w:rStyle w:val="SubtleReference"/>
        </w:rPr>
        <w:t>Trust, Acceptance</w:t>
      </w:r>
      <w:r w:rsidR="002757CA">
        <w:rPr>
          <w:rStyle w:val="SubtleReference"/>
        </w:rPr>
        <w:t>,</w:t>
      </w:r>
      <w:r w:rsidR="00191EC0">
        <w:rPr>
          <w:rStyle w:val="SubtleReference"/>
        </w:rPr>
        <w:t xml:space="preserve"> and Engagement</w:t>
      </w:r>
    </w:p>
    <w:p w14:paraId="5F055E7D" w14:textId="77777777" w:rsidR="00336813" w:rsidRDefault="00141BF2" w:rsidP="00336813">
      <w:pPr>
        <w:rPr>
          <w:rStyle w:val="None"/>
        </w:rPr>
      </w:pPr>
      <w:r w:rsidRPr="00141BF2">
        <w:rPr>
          <w:rStyle w:val="None"/>
        </w:rPr>
        <w:t>Khatri, A., Gupta, N., &amp; Parashar, A</w:t>
      </w:r>
      <w:r>
        <w:rPr>
          <w:rStyle w:val="None"/>
        </w:rPr>
        <w:t>. (2020). Application of technology acceptance model</w:t>
      </w:r>
    </w:p>
    <w:p w14:paraId="082AE13C" w14:textId="609734B6" w:rsidR="00364A29" w:rsidRDefault="00141BF2" w:rsidP="00336813">
      <w:pPr>
        <w:ind w:left="720"/>
        <w:rPr>
          <w:rStyle w:val="None"/>
        </w:rPr>
      </w:pPr>
      <w:r>
        <w:rPr>
          <w:rStyle w:val="None"/>
        </w:rPr>
        <w:t>(TAM) in fintech services.</w:t>
      </w:r>
      <w:r w:rsidR="00336813">
        <w:rPr>
          <w:rStyle w:val="None"/>
        </w:rPr>
        <w:t xml:space="preserve"> </w:t>
      </w:r>
      <w:r w:rsidR="002757CA" w:rsidRPr="002757CA">
        <w:rPr>
          <w:rStyle w:val="None"/>
          <w:i/>
          <w:iCs/>
        </w:rPr>
        <w:t>International</w:t>
      </w:r>
      <w:r w:rsidR="00336813" w:rsidRPr="002757CA">
        <w:rPr>
          <w:rStyle w:val="None"/>
          <w:i/>
          <w:iCs/>
        </w:rPr>
        <w:t xml:space="preserve"> </w:t>
      </w:r>
      <w:r w:rsidR="002757CA" w:rsidRPr="002757CA">
        <w:rPr>
          <w:rStyle w:val="None"/>
          <w:i/>
          <w:iCs/>
        </w:rPr>
        <w:t>Journal</w:t>
      </w:r>
      <w:r w:rsidR="00336813" w:rsidRPr="002757CA">
        <w:rPr>
          <w:rStyle w:val="None"/>
          <w:i/>
          <w:iCs/>
        </w:rPr>
        <w:t xml:space="preserve"> of Management, 11</w:t>
      </w:r>
      <w:r w:rsidR="00336813">
        <w:rPr>
          <w:rStyle w:val="None"/>
        </w:rPr>
        <w:t>(12), 3520-3548.</w:t>
      </w:r>
    </w:p>
    <w:p w14:paraId="44D04234" w14:textId="77777777" w:rsidR="00336813" w:rsidRDefault="00336813" w:rsidP="00336813">
      <w:pPr>
        <w:rPr>
          <w:rStyle w:val="None"/>
        </w:rPr>
      </w:pPr>
    </w:p>
    <w:p w14:paraId="4E73C4BA" w14:textId="1848A4CA" w:rsidR="00041113" w:rsidRDefault="00352CDE" w:rsidP="002F5728">
      <w:pPr>
        <w:ind w:firstLine="720"/>
      </w:pPr>
      <w:r>
        <w:t>The empirical study by Khatri, Gupta, &amp; Parashar</w:t>
      </w:r>
      <w:r w:rsidR="0032054F">
        <w:t xml:space="preserve"> (2020) applies the Technology Acceptance Model (TAM) to FinTech services, providing a framework for overcoming the Seedling project’s client adoption barrier. While the business is tasked with improving client participation as a precursor to the project, the presence of client resistance creates the imperative for inclusion of TAM in the development effort</w:t>
      </w:r>
      <w:r w:rsidR="002757CA">
        <w:t>,</w:t>
      </w:r>
      <w:r w:rsidR="00924F14">
        <w:t xml:space="preserve"> with the expectation that hesitancy that already exists will not be compounded by a </w:t>
      </w:r>
      <w:r w:rsidR="002757CA">
        <w:t>poorly executed</w:t>
      </w:r>
      <w:r w:rsidR="00924F14">
        <w:t xml:space="preserve"> solution. </w:t>
      </w:r>
      <w:r w:rsidR="002757CA">
        <w:t>The study establishes that brand and service trust act</w:t>
      </w:r>
      <w:r w:rsidR="002F5728">
        <w:t xml:space="preserve"> </w:t>
      </w:r>
      <w:r w:rsidR="002757CA">
        <w:t>a</w:t>
      </w:r>
      <w:r w:rsidR="002F5728">
        <w:t xml:space="preserve">s a </w:t>
      </w:r>
      <w:r w:rsidR="002757CA">
        <w:t xml:space="preserve">significant prerequisite to adoption, providing the basis for Greenfield to leverage its existing intimate business relationships as a springboard into adoption. </w:t>
      </w:r>
      <w:r w:rsidR="002F5728">
        <w:t>Lastly, the findings in the study confirm that a client’s intention to use an interface like that planned for the Seedling project is tied to its perceived utility and ease of use, providing the impetus for a user-centric, intuitive user experience</w:t>
      </w:r>
      <w:r w:rsidR="00CA0C07">
        <w:t>.</w:t>
      </w:r>
    </w:p>
    <w:p w14:paraId="6BCD2207" w14:textId="2719ED71" w:rsidR="00CA0C07" w:rsidRDefault="00CA0C07" w:rsidP="002F5728">
      <w:pPr>
        <w:ind w:firstLine="720"/>
      </w:pPr>
    </w:p>
    <w:p w14:paraId="467EEDD0" w14:textId="77777777" w:rsidR="002F5728" w:rsidRDefault="002F5728" w:rsidP="002F5728">
      <w:pPr>
        <w:ind w:firstLine="720"/>
      </w:pPr>
    </w:p>
    <w:p w14:paraId="6608B51D" w14:textId="77777777" w:rsidR="002F5728" w:rsidRDefault="002F5728" w:rsidP="002F5728">
      <w:pPr>
        <w:ind w:firstLine="720"/>
        <w:rPr>
          <w:rFonts w:eastAsia="Times Roman"/>
        </w:rPr>
      </w:pPr>
    </w:p>
    <w:p w14:paraId="4124C725" w14:textId="10C6A77D" w:rsidR="008C3E10" w:rsidRDefault="000207E3" w:rsidP="008C3E10">
      <w:pPr>
        <w:pStyle w:val="Default"/>
        <w:suppressAutoHyphens/>
        <w:spacing w:before="0" w:after="281" w:line="240" w:lineRule="auto"/>
        <w:rPr>
          <w:rStyle w:val="SubtleReference"/>
        </w:rPr>
      </w:pPr>
      <w:r>
        <w:rPr>
          <w:rStyle w:val="SubtleReference"/>
        </w:rPr>
        <w:t>I</w:t>
      </w:r>
      <w:r w:rsidR="00041113">
        <w:rPr>
          <w:rStyle w:val="SubtleReference"/>
        </w:rPr>
        <w:t xml:space="preserve">II. </w:t>
      </w:r>
      <w:r w:rsidR="005B73C8">
        <w:rPr>
          <w:rStyle w:val="SubtleReference"/>
        </w:rPr>
        <w:t>Foundational Structures</w:t>
      </w:r>
      <w:r w:rsidR="00041113">
        <w:rPr>
          <w:rStyle w:val="SubtleReference"/>
        </w:rPr>
        <w:t xml:space="preserve">: </w:t>
      </w:r>
      <w:r w:rsidR="00CA058E">
        <w:rPr>
          <w:rStyle w:val="SubtleReference"/>
        </w:rPr>
        <w:t>The Case for</w:t>
      </w:r>
      <w:r w:rsidR="008F2978">
        <w:rPr>
          <w:rStyle w:val="SubtleReference"/>
        </w:rPr>
        <w:t xml:space="preserve"> </w:t>
      </w:r>
      <w:r w:rsidR="001E09D4">
        <w:rPr>
          <w:rStyle w:val="SubtleReference"/>
        </w:rPr>
        <w:t xml:space="preserve"> and Challenges of Implementing </w:t>
      </w:r>
      <w:r w:rsidR="00546CA0">
        <w:rPr>
          <w:rStyle w:val="SubtleReference"/>
        </w:rPr>
        <w:t>A Reliable Data Pipeline</w:t>
      </w:r>
    </w:p>
    <w:p w14:paraId="46A56C7E" w14:textId="00CFDB82" w:rsidR="00041113" w:rsidRDefault="00041113" w:rsidP="009E398A">
      <w:pPr>
        <w:pStyle w:val="Default"/>
        <w:suppressAutoHyphens/>
        <w:spacing w:before="0" w:after="281" w:line="240" w:lineRule="auto"/>
        <w:ind w:firstLine="720"/>
        <w:rPr>
          <w:rFonts w:ascii="Times New Roman" w:hAnsi="Times New Roman" w:cs="Times New Roman"/>
        </w:rPr>
      </w:pPr>
      <w:r>
        <w:rPr>
          <w:rFonts w:ascii="Times New Roman" w:hAnsi="Times New Roman" w:cs="Times New Roman"/>
        </w:rPr>
        <w:t xml:space="preserve">This theme explores the business case for </w:t>
      </w:r>
      <w:r w:rsidR="00BA2D4A">
        <w:rPr>
          <w:rFonts w:ascii="Times New Roman" w:hAnsi="Times New Roman" w:cs="Times New Roman"/>
        </w:rPr>
        <w:t>leveraging existing technological frameworks and systems in pursuit of establishing a Single Source of Truth</w:t>
      </w:r>
      <w:r w:rsidR="00D73E14">
        <w:rPr>
          <w:rFonts w:ascii="Times New Roman" w:hAnsi="Times New Roman" w:cs="Times New Roman"/>
        </w:rPr>
        <w:t xml:space="preserve"> (SSOT)</w:t>
      </w:r>
      <w:r w:rsidR="00BA2D4A">
        <w:rPr>
          <w:rFonts w:ascii="Times New Roman" w:hAnsi="Times New Roman" w:cs="Times New Roman"/>
        </w:rPr>
        <w:t xml:space="preserve"> as the basis for the data integration </w:t>
      </w:r>
      <w:r w:rsidR="00D73E14">
        <w:rPr>
          <w:rFonts w:ascii="Times New Roman" w:hAnsi="Times New Roman" w:cs="Times New Roman"/>
        </w:rPr>
        <w:t>included in</w:t>
      </w:r>
      <w:r w:rsidR="00BA2D4A">
        <w:rPr>
          <w:rFonts w:ascii="Times New Roman" w:hAnsi="Times New Roman" w:cs="Times New Roman"/>
        </w:rPr>
        <w:t xml:space="preserve"> the Seedling project</w:t>
      </w:r>
      <w:r w:rsidR="00D73E14">
        <w:rPr>
          <w:rFonts w:ascii="Times New Roman" w:hAnsi="Times New Roman" w:cs="Times New Roman"/>
        </w:rPr>
        <w:t xml:space="preserve">. While not intended as a transactional system, Greenfield’s Salesforce instance already provides the website </w:t>
      </w:r>
      <w:r w:rsidR="00E7441E">
        <w:rPr>
          <w:rFonts w:ascii="Times New Roman" w:hAnsi="Times New Roman" w:cs="Times New Roman"/>
        </w:rPr>
        <w:t>foundation for the existing client portal</w:t>
      </w:r>
      <w:r w:rsidR="00342356">
        <w:rPr>
          <w:rFonts w:ascii="Times New Roman" w:hAnsi="Times New Roman" w:cs="Times New Roman"/>
        </w:rPr>
        <w:t>. E</w:t>
      </w:r>
      <w:r w:rsidR="00E7441E">
        <w:rPr>
          <w:rFonts w:ascii="Times New Roman" w:hAnsi="Times New Roman" w:cs="Times New Roman"/>
        </w:rPr>
        <w:t>xtending that functionality to include storage of balance sheet data</w:t>
      </w:r>
      <w:r w:rsidR="00342356">
        <w:rPr>
          <w:rFonts w:ascii="Times New Roman" w:hAnsi="Times New Roman" w:cs="Times New Roman"/>
        </w:rPr>
        <w:t xml:space="preserve"> and leveraging existing ETL batch jobs to transit that data downstream ensures data reliability, reduces maintenance complexity</w:t>
      </w:r>
      <w:r w:rsidR="001F1C64">
        <w:rPr>
          <w:rFonts w:ascii="Times New Roman" w:hAnsi="Times New Roman" w:cs="Times New Roman"/>
        </w:rPr>
        <w:t>,</w:t>
      </w:r>
      <w:r w:rsidR="00342356">
        <w:rPr>
          <w:rFonts w:ascii="Times New Roman" w:hAnsi="Times New Roman" w:cs="Times New Roman"/>
        </w:rPr>
        <w:t xml:space="preserve"> and creates a holistic view of client data in a single, unified platform. </w:t>
      </w:r>
      <w:r w:rsidR="001F1C64">
        <w:rPr>
          <w:rFonts w:ascii="Times New Roman" w:hAnsi="Times New Roman" w:cs="Times New Roman"/>
        </w:rPr>
        <w:t xml:space="preserve">The literature </w:t>
      </w:r>
      <w:r w:rsidR="009C0740">
        <w:rPr>
          <w:rFonts w:ascii="Times New Roman" w:hAnsi="Times New Roman" w:cs="Times New Roman"/>
        </w:rPr>
        <w:t>review is intended to validate this premise by establishing that utilizing existing, proven data streams and storage facilities is the most secure, cost-effective, and reliable means of implementing a digital transformation.</w:t>
      </w:r>
    </w:p>
    <w:p w14:paraId="2C7076E9" w14:textId="77777777" w:rsidR="00FE7591" w:rsidRDefault="00FE7591" w:rsidP="009E398A">
      <w:pPr>
        <w:pStyle w:val="Default"/>
        <w:suppressAutoHyphens/>
        <w:spacing w:before="0" w:after="281" w:line="240" w:lineRule="auto"/>
        <w:ind w:firstLine="720"/>
        <w:rPr>
          <w:rFonts w:ascii="Times New Roman" w:eastAsia="Times Roman" w:hAnsi="Times New Roman" w:cs="Times New Roman"/>
        </w:rPr>
      </w:pPr>
    </w:p>
    <w:p w14:paraId="533FEAB9" w14:textId="40A2CEB5" w:rsidR="00041113" w:rsidRDefault="00041113" w:rsidP="00041113">
      <w:pPr>
        <w:pStyle w:val="Default"/>
        <w:suppressAutoHyphens/>
        <w:spacing w:before="0" w:after="240" w:line="240" w:lineRule="auto"/>
        <w:rPr>
          <w:rStyle w:val="SubtleReference"/>
        </w:rPr>
      </w:pPr>
      <w:r>
        <w:rPr>
          <w:rStyle w:val="SubtleReference"/>
        </w:rPr>
        <w:lastRenderedPageBreak/>
        <w:t xml:space="preserve">Resource Topic: </w:t>
      </w:r>
      <w:r w:rsidR="00C821E8">
        <w:rPr>
          <w:rStyle w:val="SubtleReference"/>
        </w:rPr>
        <w:t>Advocating for a Single Source of Truth in Existing Systems</w:t>
      </w:r>
    </w:p>
    <w:p w14:paraId="263A9EA8" w14:textId="77777777" w:rsidR="00CB7F50" w:rsidRDefault="00486554" w:rsidP="00CB7F50">
      <w:r w:rsidRPr="00E23945">
        <w:t xml:space="preserve">Sifoni, T., &amp; Ojala, A. (2018). </w:t>
      </w:r>
      <w:r w:rsidRPr="00486554">
        <w:t>Navigating digital transformation : Crafting tailored data</w:t>
      </w:r>
    </w:p>
    <w:p w14:paraId="24B0BAF4" w14:textId="67EDBB62" w:rsidR="00041113" w:rsidRDefault="00486554" w:rsidP="00CB7F50">
      <w:pPr>
        <w:ind w:left="720"/>
      </w:pPr>
      <w:r>
        <w:t xml:space="preserve">strategies for organizational adaptability. </w:t>
      </w:r>
      <w:r w:rsidRPr="00CB7F50">
        <w:rPr>
          <w:i/>
          <w:iCs/>
        </w:rPr>
        <w:t xml:space="preserve">International Journal of Information Systems and Project Management, </w:t>
      </w:r>
      <w:r w:rsidR="00CB7F50" w:rsidRPr="00CB7F50">
        <w:rPr>
          <w:i/>
          <w:iCs/>
        </w:rPr>
        <w:t>6</w:t>
      </w:r>
      <w:r w:rsidR="00CB7F50">
        <w:t>,(4), 5-24.</w:t>
      </w:r>
    </w:p>
    <w:p w14:paraId="70A19584" w14:textId="77777777" w:rsidR="00CB7F50" w:rsidRPr="00486554" w:rsidRDefault="00CB7F50" w:rsidP="00CB7F50">
      <w:pPr>
        <w:ind w:left="720"/>
        <w:rPr>
          <w:rStyle w:val="None"/>
          <w:rFonts w:eastAsia="Times Roman"/>
        </w:rPr>
      </w:pPr>
    </w:p>
    <w:p w14:paraId="6A8A0BD5" w14:textId="1EB4A514" w:rsidR="000C2DE4" w:rsidRDefault="00041113" w:rsidP="000C2DE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w:t>
      </w:r>
      <w:r w:rsidR="00384C1C">
        <w:rPr>
          <w:rFonts w:ascii="Times New Roman" w:hAnsi="Times New Roman" w:cs="Times New Roman"/>
        </w:rPr>
        <w:t xml:space="preserve">research by Sifoni and Ojala (2018) provides significant evidence supporting the Seedling project’s architectural strategy to leverage existing infrastructure for data capture and transmission, arguing that successful digital transformation relies on the establishment of an SSOT rather than the deployment of an isolated system. The work emphasizes that organizational adaptability is best achieved when new initiatives build on authoritative systems that already exist and have been proven. By </w:t>
      </w:r>
      <w:r w:rsidR="00937C2D">
        <w:rPr>
          <w:rFonts w:ascii="Times New Roman" w:hAnsi="Times New Roman" w:cs="Times New Roman"/>
        </w:rPr>
        <w:t xml:space="preserve">integrating balance sheet data into the existing client portal, leveraging native web development and data storage architecture in Salesforce, Greenfield can apply existing business processes, data security policies, and other </w:t>
      </w:r>
      <w:r w:rsidR="000C2DE4">
        <w:rPr>
          <w:rFonts w:ascii="Times New Roman" w:hAnsi="Times New Roman" w:cs="Times New Roman"/>
        </w:rPr>
        <w:t>governance structures to new data. Additionally, by pushing that data through existing ETL processes, Greenfield ensures that the data remains governed, compliant, and accessible across the enterprise and all the way through the pipeline to AgriBank.</w:t>
      </w:r>
    </w:p>
    <w:p w14:paraId="6900BD02" w14:textId="36D24525" w:rsidR="000C2DE4" w:rsidRDefault="000C2DE4" w:rsidP="000C2DE4">
      <w:pPr>
        <w:pStyle w:val="Default"/>
        <w:suppressAutoHyphens/>
        <w:spacing w:before="0" w:after="240" w:line="240" w:lineRule="auto"/>
        <w:rPr>
          <w:rFonts w:ascii="Times New Roman" w:hAnsi="Times New Roman" w:cs="Times New Roman"/>
        </w:rPr>
      </w:pPr>
    </w:p>
    <w:p w14:paraId="5A3CED68" w14:textId="6FC51596" w:rsidR="00041113" w:rsidRDefault="00041113" w:rsidP="000C2DE4">
      <w:pPr>
        <w:pStyle w:val="Default"/>
        <w:suppressAutoHyphens/>
        <w:spacing w:before="0" w:after="240" w:line="240" w:lineRule="auto"/>
        <w:rPr>
          <w:rStyle w:val="SubtleReference"/>
        </w:rPr>
      </w:pPr>
      <w:r>
        <w:rPr>
          <w:rStyle w:val="SubtleReference"/>
        </w:rPr>
        <w:t xml:space="preserve">Resource Topic: Microservices </w:t>
      </w:r>
      <w:r w:rsidR="003F2F3A">
        <w:rPr>
          <w:rStyle w:val="SubtleReference"/>
        </w:rPr>
        <w:t xml:space="preserve">as a </w:t>
      </w:r>
      <w:r w:rsidR="007329D2">
        <w:rPr>
          <w:rStyle w:val="SubtleReference"/>
        </w:rPr>
        <w:t>Requirement for Eliminating Manual Processes</w:t>
      </w:r>
    </w:p>
    <w:p w14:paraId="6E6C8971" w14:textId="77777777" w:rsidR="00041113" w:rsidRDefault="00041113" w:rsidP="003F2F3A">
      <w:r>
        <w:t>Parikh, P., &amp; Haddad, K. (2019). Architecting a microservice based solution: Challenges and</w:t>
      </w:r>
    </w:p>
    <w:p w14:paraId="54E1AC03" w14:textId="77777777" w:rsidR="00041113" w:rsidRDefault="00041113" w:rsidP="003F2F3A">
      <w:pPr>
        <w:ind w:left="720"/>
      </w:pPr>
      <w:r>
        <w:t xml:space="preserve">considerations. </w:t>
      </w:r>
      <w:r>
        <w:rPr>
          <w:rStyle w:val="None"/>
          <w:i/>
          <w:iCs/>
        </w:rPr>
        <w:t>Journal of Financial Service Technology</w:t>
      </w:r>
      <w:r>
        <w:t xml:space="preserve">, </w:t>
      </w:r>
      <w:r>
        <w:rPr>
          <w:rStyle w:val="None"/>
          <w:i/>
          <w:iCs/>
        </w:rPr>
        <w:t>3</w:t>
      </w:r>
      <w:r>
        <w:t xml:space="preserve">(1), 77–86. Retrieved from </w:t>
      </w:r>
      <w:hyperlink r:id="rId5" w:history="1">
        <w:r>
          <w:rPr>
            <w:rStyle w:val="Hyperlink"/>
          </w:rPr>
          <w:t>https://rainmaker-s3-media.s3.amazonaws.com/prod/media/library/CPD/PDFs/Journals/</w:t>
        </w:r>
        <w:r>
          <w:rPr>
            <w:u w:val="single"/>
          </w:rPr>
          <w:br/>
        </w:r>
        <w:r>
          <w:rPr>
            <w:rStyle w:val="Hyperlink"/>
          </w:rPr>
          <w:t>Financial%20Services%20Technology/Volume%203/Number%201/JFST-v3n01_</w:t>
        </w:r>
        <w:r>
          <w:rPr>
            <w:u w:val="single"/>
          </w:rPr>
          <w:br/>
        </w:r>
        <w:r>
          <w:rPr>
            <w:rStyle w:val="Hyperlink"/>
          </w:rPr>
          <w:t>ParikhHaddad_09.pdf</w:t>
        </w:r>
      </w:hyperlink>
    </w:p>
    <w:p w14:paraId="3451CF81" w14:textId="77777777" w:rsidR="003F2F3A" w:rsidRDefault="003F2F3A" w:rsidP="003F2F3A">
      <w:pPr>
        <w:ind w:left="720"/>
        <w:rPr>
          <w:rFonts w:eastAsia="Times Roman"/>
        </w:rPr>
      </w:pPr>
    </w:p>
    <w:p w14:paraId="7090C195" w14:textId="7F02C355" w:rsidR="00041113" w:rsidRDefault="00041113" w:rsidP="00041113">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The article, "Architecting a Microservice-Based Solution: Challenges and Considerations," provides academic support for the technical scope of the </w:t>
      </w:r>
      <w:r w:rsidR="008376A3">
        <w:rPr>
          <w:rFonts w:ascii="Times New Roman" w:hAnsi="Times New Roman" w:cs="Times New Roman"/>
        </w:rPr>
        <w:t>Greefield</w:t>
      </w:r>
      <w:r>
        <w:rPr>
          <w:rFonts w:ascii="Times New Roman" w:hAnsi="Times New Roman" w:cs="Times New Roman"/>
        </w:rPr>
        <w:t xml:space="preserve"> project by addressing the necessary complexity of the data integration effort required to </w:t>
      </w:r>
      <w:r w:rsidR="008376A3">
        <w:rPr>
          <w:rFonts w:ascii="Times New Roman" w:hAnsi="Times New Roman" w:cs="Times New Roman"/>
        </w:rPr>
        <w:t xml:space="preserve">implement a </w:t>
      </w:r>
      <w:r w:rsidR="00E35EC8">
        <w:rPr>
          <w:rFonts w:ascii="Times New Roman" w:hAnsi="Times New Roman" w:cs="Times New Roman"/>
        </w:rPr>
        <w:t>complete, end-to-end solution</w:t>
      </w:r>
      <w:r>
        <w:rPr>
          <w:rFonts w:ascii="Times New Roman" w:hAnsi="Times New Roman" w:cs="Times New Roman"/>
        </w:rPr>
        <w:t xml:space="preserve">. This research moves beyond the theoretical justification of using microservices to detail the real-world architectural challenges that the IT team will face. By explicitly documenting these complex technical considerations, the paper validates that the project's requirement to </w:t>
      </w:r>
      <w:r w:rsidR="005F5BF1">
        <w:rPr>
          <w:rFonts w:ascii="Times New Roman" w:hAnsi="Times New Roman" w:cs="Times New Roman"/>
        </w:rPr>
        <w:t>enhance an existing data pipeline</w:t>
      </w:r>
      <w:r>
        <w:rPr>
          <w:rFonts w:ascii="Times New Roman" w:hAnsi="Times New Roman" w:cs="Times New Roman"/>
        </w:rPr>
        <w:t xml:space="preserve"> is a sophisticated engineering effort essential for </w:t>
      </w:r>
      <w:r w:rsidR="005F5BF1">
        <w:rPr>
          <w:rFonts w:ascii="Times New Roman" w:hAnsi="Times New Roman" w:cs="Times New Roman"/>
        </w:rPr>
        <w:t xml:space="preserve">realizing the </w:t>
      </w:r>
      <w:r w:rsidR="00131DF4">
        <w:rPr>
          <w:rFonts w:ascii="Times New Roman" w:hAnsi="Times New Roman" w:cs="Times New Roman"/>
        </w:rPr>
        <w:t>benefits of eliminating manual, paper-driven processes</w:t>
      </w:r>
      <w:r>
        <w:rPr>
          <w:rFonts w:ascii="Times New Roman" w:hAnsi="Times New Roman" w:cs="Times New Roman"/>
        </w:rPr>
        <w:t>.</w:t>
      </w:r>
    </w:p>
    <w:p w14:paraId="77902E7B" w14:textId="77777777" w:rsidR="001E09D4" w:rsidRDefault="001E09D4" w:rsidP="00041113">
      <w:pPr>
        <w:pStyle w:val="Default"/>
        <w:suppressAutoHyphens/>
        <w:spacing w:before="0" w:after="240" w:line="240" w:lineRule="auto"/>
        <w:ind w:firstLine="720"/>
        <w:rPr>
          <w:rFonts w:ascii="Times New Roman" w:eastAsia="Times Roman" w:hAnsi="Times New Roman" w:cs="Times New Roman"/>
        </w:rPr>
      </w:pPr>
    </w:p>
    <w:p w14:paraId="7C5F70CE" w14:textId="39709B65" w:rsidR="00041113" w:rsidRDefault="00041113" w:rsidP="00041113">
      <w:pPr>
        <w:pStyle w:val="Default"/>
        <w:suppressAutoHyphens/>
        <w:spacing w:before="0" w:after="240" w:line="240" w:lineRule="auto"/>
        <w:rPr>
          <w:rStyle w:val="SubtleReference"/>
        </w:rPr>
      </w:pPr>
      <w:r>
        <w:rPr>
          <w:rStyle w:val="SubtleReference"/>
        </w:rPr>
        <w:t xml:space="preserve">Resource Topic: The </w:t>
      </w:r>
      <w:r w:rsidR="000D071C">
        <w:rPr>
          <w:rStyle w:val="SubtleReference"/>
        </w:rPr>
        <w:t>Challenges of ETL Data Validation</w:t>
      </w:r>
    </w:p>
    <w:p w14:paraId="20BE3454" w14:textId="77777777" w:rsidR="00247748" w:rsidRDefault="00041113" w:rsidP="00247748">
      <w:r>
        <w:t>V</w:t>
      </w:r>
      <w:r w:rsidR="000152B0">
        <w:t>olk, M., Neuhierl, R., &amp; Amberg, M. (2020). Improving the quality validation of the ETL</w:t>
      </w:r>
    </w:p>
    <w:p w14:paraId="7AC1A598" w14:textId="55A6EC64" w:rsidR="000152B0" w:rsidRDefault="000152B0" w:rsidP="00247748">
      <w:pPr>
        <w:ind w:left="720"/>
      </w:pPr>
      <w:r>
        <w:t xml:space="preserve">process using test automation. </w:t>
      </w:r>
      <w:r w:rsidRPr="00247748">
        <w:rPr>
          <w:i/>
          <w:iCs/>
        </w:rPr>
        <w:t>Proceedings of the 22</w:t>
      </w:r>
      <w:r w:rsidRPr="00247748">
        <w:rPr>
          <w:i/>
          <w:iCs/>
          <w:vertAlign w:val="superscript"/>
        </w:rPr>
        <w:t>nd</w:t>
      </w:r>
      <w:r w:rsidRPr="00247748">
        <w:rPr>
          <w:i/>
          <w:iCs/>
        </w:rPr>
        <w:t xml:space="preserve"> International Conference on </w:t>
      </w:r>
      <w:r w:rsidR="00DE567F">
        <w:rPr>
          <w:i/>
          <w:iCs/>
        </w:rPr>
        <w:t>ro</w:t>
      </w:r>
    </w:p>
    <w:p w14:paraId="12A4627C" w14:textId="70AD7544" w:rsidR="00247748" w:rsidRDefault="00247748" w:rsidP="00247748"/>
    <w:p w14:paraId="229088CA" w14:textId="40CF6053" w:rsidR="00041113" w:rsidRDefault="00E3782A" w:rsidP="00DE567F">
      <w:pPr>
        <w:pStyle w:val="Default"/>
        <w:suppressAutoHyphens/>
        <w:spacing w:before="0" w:after="240" w:line="240" w:lineRule="auto"/>
        <w:ind w:firstLine="720"/>
        <w:rPr>
          <w:rStyle w:val="None"/>
          <w:rFonts w:ascii="Times New Roman" w:hAnsi="Times New Roman" w:cs="Times New Roman"/>
        </w:rPr>
      </w:pPr>
      <w:r w:rsidRPr="00DE567F">
        <w:rPr>
          <w:rStyle w:val="None"/>
          <w:rFonts w:ascii="Times New Roman" w:hAnsi="Times New Roman" w:cs="Times New Roman"/>
        </w:rPr>
        <w:t xml:space="preserve">The research by Volk, Neuhierl, &amp; Amberg (2020) focuses on the necessity of automating quality validation within the ETL (Extract, Transform, Load) process, providing </w:t>
      </w:r>
      <w:r w:rsidRPr="00DE567F">
        <w:rPr>
          <w:rStyle w:val="None"/>
          <w:rFonts w:ascii="Times New Roman" w:hAnsi="Times New Roman" w:cs="Times New Roman"/>
        </w:rPr>
        <w:lastRenderedPageBreak/>
        <w:t xml:space="preserve">essential support for the Seedling project’s mandate for 100% data accuracy between systems. The paper demonstrates that relying on manual testing for ETL pipelines, especially in financial institutions, is inefficient and inherently error-prone. It advocates for the implementation of automated test cases to validate data completeness, consistency, and accuracy after the data leaves the transactional system of record (Salesforce) and flows through the ETL pipeline to the final storage destinations, the internal SQL databases and the external core banking systems at AgriBank. </w:t>
      </w:r>
      <w:r w:rsidR="00DE567F" w:rsidRPr="00DE567F">
        <w:rPr>
          <w:rStyle w:val="None"/>
          <w:rFonts w:ascii="Times New Roman" w:hAnsi="Times New Roman" w:cs="Times New Roman"/>
        </w:rPr>
        <w:t>While Greenfield lacks test suites capable of automated data validation, the paper makes the point that acquiring such capabilities should be considered ahead of project initiation.</w:t>
      </w:r>
    </w:p>
    <w:p w14:paraId="368E5620" w14:textId="77777777" w:rsidR="00706786" w:rsidRPr="00DE567F" w:rsidRDefault="00706786" w:rsidP="00DE567F">
      <w:pPr>
        <w:pStyle w:val="Default"/>
        <w:suppressAutoHyphens/>
        <w:spacing w:before="0" w:after="240" w:line="240" w:lineRule="auto"/>
        <w:ind w:firstLine="720"/>
        <w:rPr>
          <w:rFonts w:ascii="Times New Roman" w:eastAsia="Times Roman" w:hAnsi="Times New Roman" w:cs="Times New Roman"/>
        </w:rPr>
      </w:pPr>
    </w:p>
    <w:p w14:paraId="644EE93A" w14:textId="10E6ABF9" w:rsidR="00706786" w:rsidRDefault="00706786" w:rsidP="00706786">
      <w:pPr>
        <w:pStyle w:val="Default"/>
        <w:suppressAutoHyphens/>
        <w:spacing w:before="0" w:after="281" w:line="240" w:lineRule="auto"/>
        <w:rPr>
          <w:rStyle w:val="SubtleReference"/>
        </w:rPr>
      </w:pPr>
      <w:r>
        <w:rPr>
          <w:rStyle w:val="SubtleReference"/>
        </w:rPr>
        <w:t>I</w:t>
      </w:r>
      <w:r w:rsidR="000207E3">
        <w:rPr>
          <w:rStyle w:val="SubtleReference"/>
        </w:rPr>
        <w:t>V</w:t>
      </w:r>
      <w:r>
        <w:rPr>
          <w:rStyle w:val="SubtleReference"/>
        </w:rPr>
        <w:t xml:space="preserve">. </w:t>
      </w:r>
      <w:r>
        <w:rPr>
          <w:rStyle w:val="SubtleReference"/>
        </w:rPr>
        <w:t>Service Consideration</w:t>
      </w:r>
      <w:r>
        <w:rPr>
          <w:rStyle w:val="SubtleReference"/>
        </w:rPr>
        <w:t xml:space="preserve">s: </w:t>
      </w:r>
      <w:r>
        <w:rPr>
          <w:rStyle w:val="SubtleReference"/>
        </w:rPr>
        <w:t>Improving Client Service Through Data Visibility</w:t>
      </w:r>
    </w:p>
    <w:p w14:paraId="17DCE4D8" w14:textId="77777777" w:rsidR="002653E4" w:rsidRDefault="002653E4" w:rsidP="002653E4">
      <w:pPr>
        <w:pStyle w:val="Default"/>
        <w:suppressAutoHyphens/>
        <w:spacing w:before="0" w:after="281" w:line="240" w:lineRule="auto"/>
        <w:ind w:firstLine="720"/>
        <w:rPr>
          <w:rFonts w:ascii="Times New Roman" w:hAnsi="Times New Roman" w:cs="Times New Roman"/>
        </w:rPr>
      </w:pPr>
      <w:r>
        <w:rPr>
          <w:rFonts w:ascii="Times New Roman" w:hAnsi="Times New Roman" w:cs="Times New Roman"/>
        </w:rPr>
        <w:t>This theme explores the business case for leveraging existing technological frameworks and systems in pursuit of establishing a Single Source of Truth (SSOT) as the basis for the data integration included in the Seedling project. While not intended as a transactional system, Greenfield’s Salesforce instance already provides the website foundation for the existing client portal. Extending that functionality to include storage of balance sheet data and leveraging existing ETL batch jobs to transit that data downstream ensures data reliability, reduces maintenance complexity, and creates a holistic view of client data in a single, unified platform. The literature review is intended to validate this premise by establishing that utilizing existing, proven data streams and storage facilities is the most secure, cost-effective, and reliable means of implementing a digital transformation.</w:t>
      </w:r>
    </w:p>
    <w:p w14:paraId="61B5A6A3" w14:textId="77777777" w:rsidR="000207E3" w:rsidRDefault="000207E3" w:rsidP="002653E4">
      <w:pPr>
        <w:pStyle w:val="Default"/>
        <w:suppressAutoHyphens/>
        <w:spacing w:before="0" w:after="281" w:line="240" w:lineRule="auto"/>
        <w:ind w:firstLine="720"/>
        <w:rPr>
          <w:rFonts w:ascii="Times New Roman" w:hAnsi="Times New Roman" w:cs="Times New Roman"/>
        </w:rPr>
      </w:pPr>
    </w:p>
    <w:p w14:paraId="3B67FF08" w14:textId="154670D7" w:rsidR="002653E4" w:rsidRDefault="002653E4" w:rsidP="002653E4">
      <w:pPr>
        <w:pStyle w:val="Default"/>
        <w:suppressAutoHyphens/>
        <w:spacing w:before="0" w:after="240" w:line="240" w:lineRule="auto"/>
        <w:rPr>
          <w:rStyle w:val="SubtleReference"/>
        </w:rPr>
      </w:pPr>
      <w:r>
        <w:rPr>
          <w:rStyle w:val="SubtleReference"/>
        </w:rPr>
        <w:t xml:space="preserve">Resource Topic: </w:t>
      </w:r>
      <w:r w:rsidR="00F31EC1">
        <w:rPr>
          <w:rStyle w:val="SubtleReference"/>
        </w:rPr>
        <w:t>Data Integration as a Customer Service Experience Advantage</w:t>
      </w:r>
    </w:p>
    <w:p w14:paraId="738447A4" w14:textId="77777777" w:rsidR="00E30703" w:rsidRDefault="00F31EC1" w:rsidP="00E30703">
      <w:pPr>
        <w:rPr>
          <w:i/>
          <w:iCs/>
        </w:rPr>
      </w:pPr>
      <w:r>
        <w:t xml:space="preserve">Euchner, J. (2023). </w:t>
      </w:r>
      <w:r w:rsidRPr="00F31EC1">
        <w:rPr>
          <w:i/>
          <w:iCs/>
        </w:rPr>
        <w:t>The age of the customer: How to deliver a unified, personalized customer</w:t>
      </w:r>
    </w:p>
    <w:p w14:paraId="52CFA8E8" w14:textId="4DF96429" w:rsidR="002653E4" w:rsidRDefault="00F31EC1" w:rsidP="00E30703">
      <w:pPr>
        <w:ind w:left="720"/>
      </w:pPr>
      <w:r w:rsidRPr="00F31EC1">
        <w:rPr>
          <w:i/>
          <w:iCs/>
        </w:rPr>
        <w:t>experience</w:t>
      </w:r>
      <w:r>
        <w:t>. Productivity Press.</w:t>
      </w:r>
    </w:p>
    <w:p w14:paraId="038FB99B" w14:textId="77777777" w:rsidR="002653E4" w:rsidRDefault="002653E4" w:rsidP="002653E4">
      <w:pPr>
        <w:ind w:left="720"/>
        <w:rPr>
          <w:rFonts w:eastAsia="Times Roman"/>
        </w:rPr>
      </w:pPr>
    </w:p>
    <w:p w14:paraId="3BD0234F" w14:textId="5A6FE20B" w:rsidR="002653E4" w:rsidRDefault="00E30703" w:rsidP="002653E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 xml:space="preserve">Euchner’s (2023) analysis supports the Seedling project’s secondary goal of improving employee experience. Although the primary </w:t>
      </w:r>
      <w:r w:rsidR="00830C56">
        <w:rPr>
          <w:rFonts w:ascii="Times New Roman" w:hAnsi="Times New Roman" w:cs="Times New Roman"/>
        </w:rPr>
        <w:t xml:space="preserve">directive within the project’s scope is to reduce tedious manual labor and improve work-life balance, Euchner makes the case that the availability of a unified view of client data serves to </w:t>
      </w:r>
      <w:r w:rsidR="001E76D2">
        <w:rPr>
          <w:rFonts w:ascii="Times New Roman" w:hAnsi="Times New Roman" w:cs="Times New Roman"/>
        </w:rPr>
        <w:t>enhance the employee’s ability to meet client needs, thereby minimizing frustration and delays that result from having to access multiple siloed systems and representations of information. By integrating the client’s submitted balance sheet data into existing and new Salesforce structures, the project ensures that loan officers, financial analysts, underwriters, and customer service representatives are operating with the same, most current information relative to the client’s financial health and outlook. In this way, data visibility reduces internal friction, allowing employees to provide faster, more personalized service, which is critical to Greenfield’s mission-driven relationships with its client-shareholders.</w:t>
      </w:r>
    </w:p>
    <w:p w14:paraId="53B7CD7A" w14:textId="77777777" w:rsidR="001E76D2" w:rsidRDefault="001E76D2" w:rsidP="002653E4">
      <w:pPr>
        <w:pStyle w:val="Default"/>
        <w:suppressAutoHyphens/>
        <w:spacing w:before="0" w:after="240" w:line="240" w:lineRule="auto"/>
        <w:ind w:firstLine="720"/>
        <w:rPr>
          <w:rFonts w:ascii="Times New Roman" w:hAnsi="Times New Roman" w:cs="Times New Roman"/>
        </w:rPr>
      </w:pPr>
    </w:p>
    <w:p w14:paraId="792174B2" w14:textId="58AD173F" w:rsidR="000207E3" w:rsidRDefault="000207E3" w:rsidP="000207E3">
      <w:pPr>
        <w:pStyle w:val="Default"/>
        <w:suppressAutoHyphens/>
        <w:spacing w:before="0" w:after="240" w:line="240" w:lineRule="auto"/>
        <w:rPr>
          <w:rStyle w:val="SubtleReference"/>
        </w:rPr>
      </w:pPr>
      <w:r>
        <w:rPr>
          <w:rStyle w:val="SubtleReference"/>
        </w:rPr>
        <w:t xml:space="preserve">Resource Topic: </w:t>
      </w:r>
      <w:r w:rsidR="00BD4281">
        <w:rPr>
          <w:rStyle w:val="SubtleReference"/>
        </w:rPr>
        <w:t xml:space="preserve">Employee Engagement </w:t>
      </w:r>
      <w:r w:rsidR="008007D6">
        <w:rPr>
          <w:rStyle w:val="SubtleReference"/>
        </w:rPr>
        <w:t>as a Path to Customer Service Excellence</w:t>
      </w:r>
    </w:p>
    <w:p w14:paraId="6471D0C8" w14:textId="698902A3" w:rsidR="004F381B" w:rsidRPr="004F381B" w:rsidRDefault="008007D6" w:rsidP="004F381B">
      <w:pPr>
        <w:rPr>
          <w:i/>
          <w:iCs/>
        </w:rPr>
      </w:pPr>
      <w:r>
        <w:lastRenderedPageBreak/>
        <w:t>McCall, A.L., &amp; Green, B.A. (2024)</w:t>
      </w:r>
      <w:r w:rsidR="004F381B">
        <w:t>.</w:t>
      </w:r>
      <w:r>
        <w:t xml:space="preserve"> </w:t>
      </w:r>
      <w:r w:rsidR="004F381B" w:rsidRPr="004F381B">
        <w:rPr>
          <w:i/>
          <w:iCs/>
        </w:rPr>
        <w:t>Employee experience: Creating engaging and productive</w:t>
      </w:r>
    </w:p>
    <w:p w14:paraId="2FAACC73" w14:textId="1922BB22" w:rsidR="000207E3" w:rsidRDefault="004F381B" w:rsidP="004F381B">
      <w:pPr>
        <w:ind w:firstLine="720"/>
      </w:pPr>
      <w:r w:rsidRPr="004F381B">
        <w:rPr>
          <w:i/>
          <w:iCs/>
        </w:rPr>
        <w:t>work environments</w:t>
      </w:r>
      <w:r>
        <w:t>. Business Expert Press.</w:t>
      </w:r>
    </w:p>
    <w:p w14:paraId="4A6957A3" w14:textId="77777777" w:rsidR="004F381B" w:rsidRDefault="004F381B" w:rsidP="004F381B">
      <w:pPr>
        <w:rPr>
          <w:rFonts w:eastAsia="Times Roman"/>
        </w:rPr>
      </w:pPr>
    </w:p>
    <w:p w14:paraId="1DDC6E46" w14:textId="58EB2455" w:rsidR="00DE567F" w:rsidRPr="007B0BC4" w:rsidRDefault="007B0BC4" w:rsidP="007B0BC4">
      <w:pPr>
        <w:pStyle w:val="Default"/>
        <w:suppressAutoHyphens/>
        <w:spacing w:before="0" w:after="240" w:line="240" w:lineRule="auto"/>
        <w:ind w:firstLine="720"/>
        <w:rPr>
          <w:rFonts w:ascii="Times New Roman" w:hAnsi="Times New Roman" w:cs="Times New Roman"/>
        </w:rPr>
      </w:pPr>
      <w:r>
        <w:rPr>
          <w:rFonts w:ascii="Times New Roman" w:hAnsi="Times New Roman" w:cs="Times New Roman"/>
        </w:rPr>
        <w:t>The framework presented by McCall and Green (2024) confirms that the Seedling project’s design is vital to creating a more engaging and productive internal environment. The authors argue that employee frustration and reduced efficiency stem from “digital friction” and the lack of seamless access to necessary resources. By automating the capture and integration of balance sheet data, the project eliminates not only the pain data entry work that consumed staff time every January, but it reduces the cognitive load on client service teams. The shift elevates the staff’s role from data processors to strategic and tactical advisors, allowing them to focus on the relationships that are so vital to Greenfield’s success and integration within the communities it serves. By reducing digital friction and providing “right time” data visibility in Salesforce, the Seedling project has the potential to contribute to higher employee satisfaction by reducing context switching and creating a harmonious, streamlined workflow.</w:t>
      </w:r>
    </w:p>
    <w:p w14:paraId="4F94B656" w14:textId="77777777" w:rsidR="00041113" w:rsidRDefault="00041113" w:rsidP="00041113">
      <w:pPr>
        <w:pStyle w:val="Default"/>
        <w:suppressAutoHyphens/>
        <w:spacing w:before="0" w:line="240" w:lineRule="auto"/>
        <w:rPr>
          <w:rFonts w:ascii="Times New Roman" w:eastAsia="Times Roman" w:hAnsi="Times New Roman" w:cs="Times New Roman"/>
          <w:color w:val="808080"/>
        </w:rPr>
      </w:pPr>
    </w:p>
    <w:p w14:paraId="782E7D5B" w14:textId="77777777" w:rsidR="00041113" w:rsidRDefault="00041113" w:rsidP="00D534E1">
      <w:pPr>
        <w:pStyle w:val="Default"/>
        <w:suppressAutoHyphens/>
        <w:spacing w:before="0" w:after="240" w:line="240" w:lineRule="auto"/>
        <w:rPr>
          <w:rFonts w:ascii="Times New Roman" w:eastAsia="Times Roman" w:hAnsi="Times New Roman" w:cs="Times New Roman"/>
        </w:rPr>
      </w:pPr>
    </w:p>
    <w:p w14:paraId="2A8BF8EE" w14:textId="2E5BCC9A" w:rsidR="00041113" w:rsidRDefault="00041113" w:rsidP="00041113">
      <w:pPr>
        <w:pStyle w:val="Default"/>
        <w:suppressAutoHyphens/>
        <w:spacing w:before="0" w:after="240" w:line="240" w:lineRule="auto"/>
        <w:rPr>
          <w:rStyle w:val="SubtleReference"/>
        </w:rPr>
      </w:pPr>
      <w:r>
        <w:rPr>
          <w:rStyle w:val="SubtleReference"/>
        </w:rPr>
        <w:t xml:space="preserve">Resource Topic: </w:t>
      </w:r>
      <w:r w:rsidR="00CF0DDB">
        <w:rPr>
          <w:rStyle w:val="SubtleReference"/>
        </w:rPr>
        <w:t>Strategic Alignment of IS and Customer Service</w:t>
      </w:r>
    </w:p>
    <w:p w14:paraId="74E0CC8E" w14:textId="0331695C" w:rsidR="00041113" w:rsidRDefault="00CF0DDB" w:rsidP="00041113">
      <w:pPr>
        <w:pStyle w:val="Default"/>
        <w:suppressAutoHyphens/>
        <w:spacing w:before="0" w:after="240" w:line="240" w:lineRule="auto"/>
        <w:ind w:firstLine="720"/>
        <w:rPr>
          <w:rFonts w:ascii="Times New Roman" w:eastAsia="Times Roman" w:hAnsi="Times New Roman" w:cs="Times New Roman"/>
        </w:rPr>
      </w:pPr>
      <w:r>
        <w:rPr>
          <w:rFonts w:ascii="Times New Roman" w:hAnsi="Times New Roman" w:cs="Times New Roman"/>
        </w:rPr>
        <w:t xml:space="preserve">Peppard, J. (1998). Information systems and customer service: An </w:t>
      </w:r>
      <w:r w:rsidR="002C50C7">
        <w:rPr>
          <w:rFonts w:ascii="Times New Roman" w:hAnsi="Times New Roman" w:cs="Times New Roman"/>
        </w:rPr>
        <w:t>examination</w:t>
      </w:r>
      <w:r>
        <w:rPr>
          <w:rFonts w:ascii="Times New Roman" w:hAnsi="Times New Roman" w:cs="Times New Roman"/>
        </w:rPr>
        <w:t xml:space="preserve"> of the relationship between information systems and customer service strategy. </w:t>
      </w:r>
      <w:r w:rsidRPr="002C50C7">
        <w:rPr>
          <w:rFonts w:ascii="Times New Roman" w:hAnsi="Times New Roman" w:cs="Times New Roman"/>
          <w:i/>
          <w:iCs/>
        </w:rPr>
        <w:t>Journal of Information Systems, 7</w:t>
      </w:r>
      <w:r>
        <w:rPr>
          <w:rFonts w:ascii="Times New Roman" w:hAnsi="Times New Roman" w:cs="Times New Roman"/>
        </w:rPr>
        <w:t>(1), 18-33.</w:t>
      </w:r>
    </w:p>
    <w:p w14:paraId="6F14667C" w14:textId="3E7D2BCE" w:rsidR="00041113" w:rsidRDefault="002C50C7" w:rsidP="00041113">
      <w:pPr>
        <w:pStyle w:val="Default"/>
        <w:suppressAutoHyphens/>
        <w:spacing w:before="0" w:after="240" w:line="240" w:lineRule="auto"/>
        <w:ind w:firstLine="720"/>
        <w:rPr>
          <w:rFonts w:ascii="Times New Roman" w:eastAsia="Times Roman" w:hAnsi="Times New Roman" w:cs="Times New Roman"/>
        </w:rPr>
      </w:pPr>
      <w:r>
        <w:rPr>
          <w:rFonts w:ascii="Times New Roman" w:hAnsi="Times New Roman" w:cs="Times New Roman"/>
        </w:rPr>
        <w:t xml:space="preserve">While dated, Peppard’s work on the relationship between information systems (IS) and customer service strategy provides strategic justification for the integration of balance sheet data into Salesforce. The paper argues that for customer service initiatives to be successful, they must be supported by an information architecture that is aligned with service goals. In Greenfield Financial’s case, the mission of “enriching agriculture and rural America” depends on providing highly-personalized service, which is impossible when service staff are burdened with manual data processing and </w:t>
      </w:r>
      <w:r w:rsidR="004125EA">
        <w:rPr>
          <w:rFonts w:ascii="Times New Roman" w:hAnsi="Times New Roman" w:cs="Times New Roman"/>
        </w:rPr>
        <w:t xml:space="preserve">having to access the data they input in AgriBank’s core banking systems while also looking to Salesforce for credit account data. By ensuring that balance sheet data adheres to the goal of ensuring an SSOT, the project alters the IS landscape by enabling a superior customer experience. This alignment shifts the employee’s task from manual data entry or context shifting between systems to relationship management and financial analysis, which is the necessary prerequisite for achieving Greenfield’s intensive client </w:t>
      </w:r>
      <w:r w:rsidR="00AE6AED">
        <w:rPr>
          <w:rFonts w:ascii="Times New Roman" w:hAnsi="Times New Roman" w:cs="Times New Roman"/>
        </w:rPr>
        <w:t>partnerships.</w:t>
      </w:r>
    </w:p>
    <w:p w14:paraId="60A63F61"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13"/>
    <w:rsid w:val="0000031C"/>
    <w:rsid w:val="000152B0"/>
    <w:rsid w:val="000207E3"/>
    <w:rsid w:val="00021A4E"/>
    <w:rsid w:val="00041113"/>
    <w:rsid w:val="000461AC"/>
    <w:rsid w:val="00052CB9"/>
    <w:rsid w:val="00083E30"/>
    <w:rsid w:val="000C2DE4"/>
    <w:rsid w:val="000D071C"/>
    <w:rsid w:val="000E755B"/>
    <w:rsid w:val="00127CAB"/>
    <w:rsid w:val="00131DF4"/>
    <w:rsid w:val="00141BF2"/>
    <w:rsid w:val="00146FDD"/>
    <w:rsid w:val="00163631"/>
    <w:rsid w:val="00191EC0"/>
    <w:rsid w:val="001A0A16"/>
    <w:rsid w:val="001B3A2F"/>
    <w:rsid w:val="001C2F59"/>
    <w:rsid w:val="001C5060"/>
    <w:rsid w:val="001E09D4"/>
    <w:rsid w:val="001E34C7"/>
    <w:rsid w:val="001E76D2"/>
    <w:rsid w:val="001F1C64"/>
    <w:rsid w:val="00220CAA"/>
    <w:rsid w:val="00247748"/>
    <w:rsid w:val="00256206"/>
    <w:rsid w:val="002653E4"/>
    <w:rsid w:val="002757CA"/>
    <w:rsid w:val="00281654"/>
    <w:rsid w:val="002927AE"/>
    <w:rsid w:val="002C50C7"/>
    <w:rsid w:val="002F5728"/>
    <w:rsid w:val="003101D7"/>
    <w:rsid w:val="0032054F"/>
    <w:rsid w:val="00336813"/>
    <w:rsid w:val="00342356"/>
    <w:rsid w:val="00343573"/>
    <w:rsid w:val="00352CDE"/>
    <w:rsid w:val="00364A29"/>
    <w:rsid w:val="0037346D"/>
    <w:rsid w:val="00384C1C"/>
    <w:rsid w:val="003F2F3A"/>
    <w:rsid w:val="0041248C"/>
    <w:rsid w:val="004125EA"/>
    <w:rsid w:val="00442193"/>
    <w:rsid w:val="0044345A"/>
    <w:rsid w:val="00444225"/>
    <w:rsid w:val="00462A5C"/>
    <w:rsid w:val="00482945"/>
    <w:rsid w:val="00486554"/>
    <w:rsid w:val="004F381B"/>
    <w:rsid w:val="004F3983"/>
    <w:rsid w:val="005148CA"/>
    <w:rsid w:val="005225CF"/>
    <w:rsid w:val="005340A8"/>
    <w:rsid w:val="005368A9"/>
    <w:rsid w:val="00546CA0"/>
    <w:rsid w:val="00564E45"/>
    <w:rsid w:val="00582DEA"/>
    <w:rsid w:val="005B73C8"/>
    <w:rsid w:val="005D4A3D"/>
    <w:rsid w:val="005F5BF1"/>
    <w:rsid w:val="00611768"/>
    <w:rsid w:val="006B0BF6"/>
    <w:rsid w:val="006C0B30"/>
    <w:rsid w:val="006D2412"/>
    <w:rsid w:val="00706786"/>
    <w:rsid w:val="00725A6B"/>
    <w:rsid w:val="007329D2"/>
    <w:rsid w:val="00735A5B"/>
    <w:rsid w:val="00764AAB"/>
    <w:rsid w:val="00777E58"/>
    <w:rsid w:val="007907D1"/>
    <w:rsid w:val="00795246"/>
    <w:rsid w:val="007B0BC4"/>
    <w:rsid w:val="007B1919"/>
    <w:rsid w:val="007F3E11"/>
    <w:rsid w:val="008007D6"/>
    <w:rsid w:val="00801A0A"/>
    <w:rsid w:val="00821BE4"/>
    <w:rsid w:val="00830C56"/>
    <w:rsid w:val="00832B6A"/>
    <w:rsid w:val="00833391"/>
    <w:rsid w:val="008376A3"/>
    <w:rsid w:val="008516AF"/>
    <w:rsid w:val="00853D76"/>
    <w:rsid w:val="00895B65"/>
    <w:rsid w:val="008A69D0"/>
    <w:rsid w:val="008A73F3"/>
    <w:rsid w:val="008C3E10"/>
    <w:rsid w:val="008D2ADF"/>
    <w:rsid w:val="008D3240"/>
    <w:rsid w:val="008F2978"/>
    <w:rsid w:val="00924F14"/>
    <w:rsid w:val="00937C2D"/>
    <w:rsid w:val="009642F7"/>
    <w:rsid w:val="009A5A4B"/>
    <w:rsid w:val="009C0740"/>
    <w:rsid w:val="009E398A"/>
    <w:rsid w:val="00A10BB2"/>
    <w:rsid w:val="00A42368"/>
    <w:rsid w:val="00A6504C"/>
    <w:rsid w:val="00A7087B"/>
    <w:rsid w:val="00A82D93"/>
    <w:rsid w:val="00AA5DBD"/>
    <w:rsid w:val="00AB719C"/>
    <w:rsid w:val="00AE6AED"/>
    <w:rsid w:val="00AF2DFD"/>
    <w:rsid w:val="00AF74C7"/>
    <w:rsid w:val="00B15974"/>
    <w:rsid w:val="00B52CFC"/>
    <w:rsid w:val="00B60792"/>
    <w:rsid w:val="00BA2D4A"/>
    <w:rsid w:val="00BA308E"/>
    <w:rsid w:val="00BA525B"/>
    <w:rsid w:val="00BA74AA"/>
    <w:rsid w:val="00BC476E"/>
    <w:rsid w:val="00BC7672"/>
    <w:rsid w:val="00BD4281"/>
    <w:rsid w:val="00BF4452"/>
    <w:rsid w:val="00C516BF"/>
    <w:rsid w:val="00C607A1"/>
    <w:rsid w:val="00C60FF7"/>
    <w:rsid w:val="00C7184B"/>
    <w:rsid w:val="00C821E8"/>
    <w:rsid w:val="00CA058E"/>
    <w:rsid w:val="00CA0C07"/>
    <w:rsid w:val="00CA114C"/>
    <w:rsid w:val="00CA1356"/>
    <w:rsid w:val="00CB0F8B"/>
    <w:rsid w:val="00CB7F50"/>
    <w:rsid w:val="00CD66BD"/>
    <w:rsid w:val="00CF0DDB"/>
    <w:rsid w:val="00D425DB"/>
    <w:rsid w:val="00D43EEB"/>
    <w:rsid w:val="00D534E1"/>
    <w:rsid w:val="00D70F61"/>
    <w:rsid w:val="00D732A6"/>
    <w:rsid w:val="00D73E14"/>
    <w:rsid w:val="00D86643"/>
    <w:rsid w:val="00DA4404"/>
    <w:rsid w:val="00DC47B5"/>
    <w:rsid w:val="00DE3B82"/>
    <w:rsid w:val="00DE567F"/>
    <w:rsid w:val="00E23945"/>
    <w:rsid w:val="00E30703"/>
    <w:rsid w:val="00E35EC8"/>
    <w:rsid w:val="00E3782A"/>
    <w:rsid w:val="00E44A8F"/>
    <w:rsid w:val="00E5750C"/>
    <w:rsid w:val="00E7441E"/>
    <w:rsid w:val="00EB77E7"/>
    <w:rsid w:val="00EF2629"/>
    <w:rsid w:val="00F31EC1"/>
    <w:rsid w:val="00F60E62"/>
    <w:rsid w:val="00F6711B"/>
    <w:rsid w:val="00F8605B"/>
    <w:rsid w:val="00FE7591"/>
    <w:rsid w:val="00FF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E2287"/>
  <w15:chartTrackingRefBased/>
  <w15:docId w15:val="{A4486808-18E8-4D4B-8D76-E115253C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113"/>
    <w:pPr>
      <w:spacing w:after="0" w:line="240" w:lineRule="auto"/>
    </w:pPr>
    <w:rPr>
      <w:rFonts w:ascii="Times New Roman" w:eastAsia="Arial Unicode MS" w:hAnsi="Times New Roman" w:cs="Times New Roman"/>
      <w:kern w:val="0"/>
      <w14:ligatures w14:val="none"/>
    </w:rPr>
  </w:style>
  <w:style w:type="paragraph" w:styleId="Heading1">
    <w:name w:val="heading 1"/>
    <w:basedOn w:val="Normal"/>
    <w:next w:val="Normal"/>
    <w:link w:val="Heading1Char"/>
    <w:uiPriority w:val="9"/>
    <w:qFormat/>
    <w:rsid w:val="000411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11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111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111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4111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11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11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11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11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13"/>
    <w:rPr>
      <w:rFonts w:eastAsiaTheme="majorEastAsia" w:cstheme="majorBidi"/>
      <w:color w:val="272727" w:themeColor="text1" w:themeTint="D8"/>
    </w:rPr>
  </w:style>
  <w:style w:type="paragraph" w:styleId="Title">
    <w:name w:val="Title"/>
    <w:basedOn w:val="Normal"/>
    <w:next w:val="Normal"/>
    <w:link w:val="TitleChar"/>
    <w:uiPriority w:val="10"/>
    <w:qFormat/>
    <w:rsid w:val="0004111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1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113"/>
    <w:rPr>
      <w:i/>
      <w:iCs/>
      <w:color w:val="404040" w:themeColor="text1" w:themeTint="BF"/>
    </w:rPr>
  </w:style>
  <w:style w:type="paragraph" w:styleId="ListParagraph">
    <w:name w:val="List Paragraph"/>
    <w:basedOn w:val="Normal"/>
    <w:uiPriority w:val="34"/>
    <w:qFormat/>
    <w:rsid w:val="0004111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41113"/>
    <w:rPr>
      <w:i/>
      <w:iCs/>
      <w:color w:val="0F4761" w:themeColor="accent1" w:themeShade="BF"/>
    </w:rPr>
  </w:style>
  <w:style w:type="paragraph" w:styleId="IntenseQuote">
    <w:name w:val="Intense Quote"/>
    <w:basedOn w:val="Normal"/>
    <w:next w:val="Normal"/>
    <w:link w:val="IntenseQuoteChar"/>
    <w:uiPriority w:val="30"/>
    <w:qFormat/>
    <w:rsid w:val="000411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41113"/>
    <w:rPr>
      <w:i/>
      <w:iCs/>
      <w:color w:val="0F4761" w:themeColor="accent1" w:themeShade="BF"/>
    </w:rPr>
  </w:style>
  <w:style w:type="character" w:styleId="IntenseReference">
    <w:name w:val="Intense Reference"/>
    <w:basedOn w:val="DefaultParagraphFont"/>
    <w:uiPriority w:val="32"/>
    <w:qFormat/>
    <w:rsid w:val="00041113"/>
    <w:rPr>
      <w:b/>
      <w:bCs/>
      <w:smallCaps/>
      <w:color w:val="0F4761" w:themeColor="accent1" w:themeShade="BF"/>
      <w:spacing w:val="5"/>
    </w:rPr>
  </w:style>
  <w:style w:type="character" w:styleId="Hyperlink">
    <w:name w:val="Hyperlink"/>
    <w:basedOn w:val="DefaultParagraphFont"/>
    <w:uiPriority w:val="99"/>
    <w:unhideWhenUsed/>
    <w:rsid w:val="00041113"/>
    <w:rPr>
      <w:color w:val="467886" w:themeColor="hyperlink"/>
      <w:u w:val="single"/>
    </w:rPr>
  </w:style>
  <w:style w:type="character" w:styleId="UnresolvedMention">
    <w:name w:val="Unresolved Mention"/>
    <w:basedOn w:val="DefaultParagraphFont"/>
    <w:uiPriority w:val="99"/>
    <w:semiHidden/>
    <w:unhideWhenUsed/>
    <w:rsid w:val="00041113"/>
    <w:rPr>
      <w:color w:val="605E5C"/>
      <w:shd w:val="clear" w:color="auto" w:fill="E1DFDD"/>
    </w:rPr>
  </w:style>
  <w:style w:type="paragraph" w:customStyle="1" w:styleId="Default">
    <w:name w:val="Default"/>
    <w:rsid w:val="00041113"/>
    <w:pPr>
      <w:spacing w:before="160" w:after="0" w:line="288" w:lineRule="auto"/>
    </w:pPr>
    <w:rPr>
      <w:rFonts w:ascii="Helvetica Neue" w:eastAsia="Arial Unicode MS" w:hAnsi="Helvetica Neue" w:cs="Arial Unicode MS"/>
      <w:color w:val="000000"/>
      <w:kern w:val="0"/>
      <w:u w:color="000000"/>
      <w14:textOutline w14:w="12700" w14:cap="flat" w14:cmpd="sng" w14:algn="ctr">
        <w14:noFill/>
        <w14:prstDash w14:val="solid"/>
        <w14:miter w14:lim="100000"/>
      </w14:textOutline>
      <w14:ligatures w14:val="none"/>
    </w:rPr>
  </w:style>
  <w:style w:type="character" w:styleId="SubtleReference">
    <w:name w:val="Subtle Reference"/>
    <w:basedOn w:val="DefaultParagraphFont"/>
    <w:uiPriority w:val="31"/>
    <w:qFormat/>
    <w:rsid w:val="00041113"/>
    <w:rPr>
      <w:smallCaps/>
      <w:color w:val="5A5A5A" w:themeColor="text1" w:themeTint="A5"/>
    </w:rPr>
  </w:style>
  <w:style w:type="character" w:customStyle="1" w:styleId="None">
    <w:name w:val="None"/>
    <w:rsid w:val="00041113"/>
  </w:style>
  <w:style w:type="character" w:customStyle="1" w:styleId="Hyperlink0">
    <w:name w:val="Hyperlink.0"/>
    <w:basedOn w:val="None"/>
    <w:rsid w:val="00041113"/>
    <w:rPr>
      <w:i w:val="0"/>
      <w:iCs w:val="0"/>
      <w:outline w:val="0"/>
      <w:shadow w:val="0"/>
      <w:emboss w:val="0"/>
      <w:imprint w:val="0"/>
      <w:color w:val="0000EE"/>
      <w:u w:val="single"/>
    </w:rPr>
  </w:style>
  <w:style w:type="character" w:customStyle="1" w:styleId="Hyperlink1">
    <w:name w:val="Hyperlink.1"/>
    <w:basedOn w:val="None"/>
    <w:rsid w:val="00041113"/>
    <w:rPr>
      <w:outline w:val="0"/>
      <w:shadow w:val="0"/>
      <w:emboss w:val="0"/>
      <w:imprint w:val="0"/>
      <w:color w:val="0000EE"/>
      <w:u w:val="single"/>
    </w:rPr>
  </w:style>
  <w:style w:type="character" w:customStyle="1" w:styleId="Hyperlink2">
    <w:name w:val="Hyperlink.2"/>
    <w:basedOn w:val="Hyperlink"/>
    <w:rsid w:val="00041113"/>
    <w:rPr>
      <w:outline w:val="0"/>
      <w:shadow w:val="0"/>
      <w:emboss w:val="0"/>
      <w:imprint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ainmaker-s3-media.s3.amazonaws.com/prod/media/library/CPD/PDFs/Journals/Financial%20Services%20Technology/Volume%203/Number%201/JFST-v3n01_ParikhHaddad_09.pdf" TargetMode="External"/><Relationship Id="rId4" Type="http://schemas.openxmlformats.org/officeDocument/2006/relationships/hyperlink" Target="https://doi.org/10.1108/JABES-04-2024-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2370</Words>
  <Characters>14958</Characters>
  <Application>Microsoft Office Word</Application>
  <DocSecurity>0</DocSecurity>
  <Lines>249</Lines>
  <Paragraphs>75</Paragraphs>
  <ScaleCrop>false</ScaleCrop>
  <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154</cp:revision>
  <dcterms:created xsi:type="dcterms:W3CDTF">2025-10-28T17:08:00Z</dcterms:created>
  <dcterms:modified xsi:type="dcterms:W3CDTF">2025-11-14T20:44:00Z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5b01cbfd-bb83-4928-b8e3-7ebf767e6f74</vt:lpwstr>
  </property>
</Properties>
</file>