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Seedling: A Data-Driven Architecture for Cost Mitigation and Adoption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Kate Herrick Capella University IT-FPX 4998: Capstone II Site Supervisor: Angela Baughman November 15, 2025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Executive Summary: Project "Seedling"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Greenfield Financial </w:t>
      </w:r>
      <w:r>
        <w:rPr>
          <w:rFonts w:ascii="Times Roman" w:hAnsi="Times Roman"/>
          <w:b w:val="1"/>
          <w:bCs w:val="1"/>
          <w:rtl w:val="0"/>
          <w:lang w:val="en-US"/>
        </w:rPr>
        <w:t>Seedling Initiative</w:t>
      </w:r>
      <w:r>
        <w:rPr>
          <w:rFonts w:ascii="Times Roman" w:hAnsi="Times Roman"/>
          <w:rtl w:val="0"/>
          <w:lang w:val="en-US"/>
        </w:rPr>
        <w:t xml:space="preserve"> was launched to address the organization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 xml:space="preserve">s single largest operational expenditure: the millions of dollars spent annually on manual transcription labor for client balance sheets. Market research and internal cost analysis suggest that successfully migrating clients to a digital self-service portal could yield </w:t>
      </w:r>
      <w:r>
        <w:rPr>
          <w:rFonts w:ascii="Times Roman" w:hAnsi="Times Roman"/>
          <w:b w:val="1"/>
          <w:bCs w:val="1"/>
          <w:rtl w:val="0"/>
          <w:lang w:val="en-US"/>
        </w:rPr>
        <w:t>cost savings exceeding $2.5 million</w:t>
      </w:r>
      <w:r>
        <w:rPr>
          <w:rFonts w:ascii="Times Roman" w:hAnsi="Times Roman"/>
          <w:rtl w:val="0"/>
          <w:lang w:val="en-US"/>
        </w:rPr>
        <w:t xml:space="preserve"> in the first year against a planned spend of $550,000. While the primary driver is financial, the project's focus has been revised to focus on the development of a solution that also </w:t>
      </w:r>
      <w:r>
        <w:rPr>
          <w:rFonts w:ascii="Times Roman" w:hAnsi="Times Roman"/>
          <w:b w:val="1"/>
          <w:bCs w:val="1"/>
          <w:rtl w:val="0"/>
          <w:lang w:val="en-US"/>
        </w:rPr>
        <w:t>mitigates data integrity risk</w:t>
      </w:r>
      <w:r>
        <w:rPr>
          <w:rFonts w:ascii="Times Roman" w:hAnsi="Times Roman"/>
          <w:rtl w:val="0"/>
          <w:lang w:val="en-US"/>
        </w:rPr>
        <w:t xml:space="preserve"> stemming from the institution's error-prone manual process. An initial review of current-state processes confirmed that relying on human data entry violates the </w:t>
      </w:r>
      <w:r>
        <w:rPr>
          <w:rFonts w:ascii="Times Roman" w:hAnsi="Times Roman"/>
          <w:b w:val="1"/>
          <w:bCs w:val="1"/>
          <w:rtl w:val="0"/>
          <w:lang w:val="en-US"/>
        </w:rPr>
        <w:t>Single Source of Truth (SSOT)</w:t>
      </w:r>
      <w:r>
        <w:rPr>
          <w:rFonts w:ascii="Times Roman" w:hAnsi="Times Roman"/>
          <w:rtl w:val="0"/>
          <w:lang w:val="en-US"/>
        </w:rPr>
        <w:t xml:space="preserve"> principle, compromising data fidelity and business intelligence.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initiative's core objectives are threefold: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To achieve </w:t>
      </w:r>
      <w:r>
        <w:rPr>
          <w:rFonts w:ascii="Times Roman" w:hAnsi="Times Roman"/>
          <w:b w:val="1"/>
          <w:bCs w:val="1"/>
          <w:rtl w:val="0"/>
          <w:lang w:val="en-US"/>
        </w:rPr>
        <w:t>cost mitigation and ROI</w:t>
      </w:r>
      <w:r>
        <w:rPr>
          <w:rFonts w:ascii="Times Roman" w:hAnsi="Times Roman"/>
          <w:rtl w:val="0"/>
          <w:lang w:val="en-US"/>
        </w:rPr>
        <w:t xml:space="preserve"> by embedding a mandatory, non-negotiable </w:t>
      </w:r>
      <w:r>
        <w:rPr>
          <w:rFonts w:ascii="Times Roman" w:hAnsi="Times Roman"/>
          <w:b w:val="1"/>
          <w:bCs w:val="1"/>
          <w:rtl w:val="0"/>
          <w:lang w:val="en-US"/>
        </w:rPr>
        <w:t>Client Adoption Checkpoint</w:t>
      </w:r>
      <w:r>
        <w:rPr>
          <w:rFonts w:ascii="Times Roman" w:hAnsi="Times Roman"/>
          <w:rtl w:val="0"/>
          <w:lang w:val="en-US"/>
        </w:rPr>
        <w:t>into the project lifecycle, ensuring the business takes ownership of the shift to self-service.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To enhance </w:t>
      </w:r>
      <w:r>
        <w:rPr>
          <w:rFonts w:ascii="Times Roman" w:hAnsi="Times Roman"/>
          <w:b w:val="1"/>
          <w:bCs w:val="1"/>
          <w:rtl w:val="0"/>
          <w:lang w:val="en-US"/>
        </w:rPr>
        <w:t>employee well-being and data integrity</w:t>
      </w:r>
      <w:r>
        <w:rPr>
          <w:rFonts w:ascii="Times Roman" w:hAnsi="Times Roman"/>
          <w:rtl w:val="0"/>
          <w:lang w:val="en-US"/>
        </w:rPr>
        <w:t xml:space="preserve"> by replacing error-prone manual transcription with an automated ETL data pipeline and establishing Salesforce as the SSOT for client financial data.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To secure the </w:t>
      </w:r>
      <w:r>
        <w:rPr>
          <w:rFonts w:ascii="Times Roman" w:hAnsi="Times Roman"/>
          <w:b w:val="1"/>
          <w:bCs w:val="1"/>
          <w:rtl w:val="0"/>
          <w:lang w:val="en-US"/>
        </w:rPr>
        <w:t>Primary Lineage Point (PLP)</w:t>
      </w:r>
      <w:r>
        <w:rPr>
          <w:rFonts w:ascii="Times Roman" w:hAnsi="Times Roman"/>
          <w:rtl w:val="0"/>
          <w:lang w:val="en-US"/>
        </w:rPr>
        <w:t xml:space="preserve"> of the data at the client input screen, preventing data corruption and creating a superior, auditable record.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Project Lifecycle and Milestones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</w:t>
      </w:r>
      <w:r>
        <w:rPr>
          <w:rFonts w:ascii="Times Roman" w:hAnsi="Times Roman"/>
          <w:b w:val="1"/>
          <w:bCs w:val="1"/>
          <w:rtl w:val="0"/>
          <w:lang w:val="en-US"/>
        </w:rPr>
        <w:t>Seedling Initiative</w:t>
      </w:r>
      <w:r>
        <w:rPr>
          <w:rFonts w:ascii="Times Roman" w:hAnsi="Times Roman"/>
          <w:rtl w:val="0"/>
          <w:lang w:val="en-US"/>
        </w:rPr>
        <w:t xml:space="preserve"> is executed using a </w:t>
      </w:r>
      <w:r>
        <w:rPr>
          <w:rFonts w:ascii="Times Roman" w:hAnsi="Times Roman"/>
          <w:b w:val="1"/>
          <w:bCs w:val="1"/>
          <w:rtl w:val="0"/>
          <w:lang w:val="en-US"/>
        </w:rPr>
        <w:t>Hybrid Agile/Waterfall methodology</w:t>
      </w:r>
      <w:r>
        <w:rPr>
          <w:rFonts w:ascii="Times Roman" w:hAnsi="Times Roman"/>
          <w:rtl w:val="0"/>
          <w:lang w:val="en-US"/>
        </w:rPr>
        <w:t>, strategically front-loading the most critical risk mitigation work (data governance and SME-intensive requirements) into the Waterfall phase. The overall timeline is designed for a twelve-month delivery, focusing first on data integrity and risk mitigation, followed by client-facing feature development and aggressive adoption campaigns.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81"/>
        <w:gridCol w:w="722"/>
        <w:gridCol w:w="6957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Milestone</w:t>
            </w:r>
          </w:p>
        </w:tc>
        <w:tc>
          <w:tcPr>
            <w:tcW w:type="dxa" w:w="7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Timeframe</w:t>
            </w:r>
          </w:p>
        </w:tc>
        <w:tc>
          <w:tcPr>
            <w:tcW w:type="dxa" w:w="6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Description and Deliverables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T+1 Month: Strategic Planning &amp; Resource Advocacy</w:t>
            </w:r>
          </w:p>
        </w:tc>
        <w:tc>
          <w:tcPr>
            <w:tcW w:type="dxa" w:w="7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T+1 Month</w:t>
            </w:r>
          </w:p>
        </w:tc>
        <w:tc>
          <w:tcPr>
            <w:tcW w:type="dxa" w:w="6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Project Initiation and Charter Approval.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Formal approval of the budget, resources, and the Hybrid execution model. Key deliverable: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Executive Mandate for SME Time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secured via the Project Sponsor, directly mitigating the highest resource risk.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1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T+3 Months: Data Governance &amp; PLP Definition (Waterfall Phase)</w:t>
            </w:r>
          </w:p>
        </w:tc>
        <w:tc>
          <w:tcPr>
            <w:tcW w:type="dxa" w:w="7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T+3 Months</w:t>
            </w:r>
          </w:p>
        </w:tc>
        <w:tc>
          <w:tcPr>
            <w:tcW w:type="dxa" w:w="6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Requirements and Data Mapping Completion.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Finalization of all business, technical, and data governance requirements. Key deliverable: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100% Data Field Mapping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for the ETL pipeline, official designation of the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Primary Lineage Point (PLP)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at the client portal, and approval of all automated validation rules.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T+6 Months: Technical Build Completion (Agile Sprints)</w:t>
            </w:r>
          </w:p>
        </w:tc>
        <w:tc>
          <w:tcPr>
            <w:tcW w:type="dxa" w:w="7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T+6 Months</w:t>
            </w:r>
          </w:p>
        </w:tc>
        <w:tc>
          <w:tcPr>
            <w:tcW w:type="dxa" w:w="6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SSOT and ETL Pipeline Deployment.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Full development and internal testing of the Salesforce SSOT architecture and the automated ETL pipeline connecting the client portal to Salesforce. Key deliverable: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it-IT"/>
              </w:rPr>
              <w:t>SSOT Go-Live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(internal only).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T+8 Months: Client Portal UI/UX Finalization</w:t>
            </w:r>
          </w:p>
        </w:tc>
        <w:tc>
          <w:tcPr>
            <w:tcW w:type="dxa" w:w="7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T+8 Months</w:t>
            </w:r>
          </w:p>
        </w:tc>
        <w:tc>
          <w:tcPr>
            <w:tcW w:type="dxa" w:w="6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Client Portal Development &amp; Integration Testing.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Completion of the client-facing portal UI/UX, built around the principle of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Perceived Ease of Use (PEU)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, and successful integration with the ETL pipeline. Key deliverable: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100% Data Validation Testing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of the entire data flow.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T+10 Months: Adoption Readiness &amp; Approval Gate</w:t>
            </w:r>
          </w:p>
        </w:tc>
        <w:tc>
          <w:tcPr>
            <w:tcW w:type="dxa" w:w="7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T+10 Months</w:t>
            </w:r>
          </w:p>
        </w:tc>
        <w:tc>
          <w:tcPr>
            <w:tcW w:type="dxa" w:w="6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The Strategic Adoption Checkpoint.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Mandatory non-technical gate requiring sign-off from Client Services and Marketing. Deliverables: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Finalized Client Communication Plan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and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Dedicated Adoption Budget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secured. This gate ensures project value is protected.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T+12 Months: Production Launch &amp; Closeout</w:t>
            </w:r>
          </w:p>
        </w:tc>
        <w:tc>
          <w:tcPr>
            <w:tcW w:type="dxa" w:w="7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T+12 Months</w:t>
            </w:r>
          </w:p>
        </w:tc>
        <w:tc>
          <w:tcPr>
            <w:tcW w:type="dxa" w:w="69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Go-Live.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Production launch of the client portal and formal retirement of the paper submission process. Hand-off to Operations and Closeout.</w:t>
            </w:r>
          </w:p>
        </w:tc>
      </w:tr>
    </w:tbl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Architectural Foundation and Business Value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success of the </w:t>
      </w:r>
      <w:r>
        <w:rPr>
          <w:rFonts w:ascii="Times Roman" w:hAnsi="Times Roman"/>
          <w:b w:val="1"/>
          <w:bCs w:val="1"/>
          <w:rtl w:val="0"/>
          <w:lang w:val="en-US"/>
        </w:rPr>
        <w:t>Seedling Initiative</w:t>
      </w:r>
      <w:r>
        <w:rPr>
          <w:rFonts w:ascii="Times Roman" w:hAnsi="Times Roman"/>
          <w:rtl w:val="0"/>
          <w:lang w:val="en-US"/>
        </w:rPr>
        <w:t xml:space="preserve"> rests on the strategic implementation of data architecture principles to realize business value: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Single Source of Truth (SSOT) and ETL:</w:t>
      </w:r>
      <w:r>
        <w:rPr>
          <w:rFonts w:ascii="Times Roman" w:hAnsi="Times Roman"/>
          <w:rtl w:val="0"/>
          <w:lang w:val="en-US"/>
        </w:rPr>
        <w:t xml:space="preserve"> The project fundamentally shifts data ownership. The </w:t>
      </w:r>
      <w:r>
        <w:rPr>
          <w:rFonts w:ascii="Times Roman" w:hAnsi="Times Roman"/>
          <w:b w:val="1"/>
          <w:bCs w:val="1"/>
          <w:rtl w:val="0"/>
          <w:lang w:val="en-US"/>
        </w:rPr>
        <w:t>Salesforce platform</w:t>
      </w:r>
      <w:r>
        <w:rPr>
          <w:rFonts w:ascii="Times Roman" w:hAnsi="Times Roman"/>
          <w:rtl w:val="0"/>
          <w:lang w:val="en-US"/>
        </w:rPr>
        <w:t xml:space="preserve"> is designated as the SSOT for client balance sheet data, consuming the structured input from the client portal via the ETL pipeline. This architecture eliminates data silos, ensures every internal stakeholder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from relationship managers to credit analysts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accesses the same validated information, and is critical for improving business intelligence.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The Primary Lineage Point (PLP):</w:t>
      </w:r>
      <w:r>
        <w:rPr>
          <w:rFonts w:ascii="Times Roman" w:hAnsi="Times Roman"/>
          <w:rtl w:val="0"/>
          <w:lang w:val="en-US"/>
        </w:rPr>
        <w:t xml:space="preserve"> By enforcing data collection through the client portal, the project formally establishes the </w:t>
      </w:r>
      <w:r>
        <w:rPr>
          <w:rFonts w:ascii="Times Roman" w:hAnsi="Times Roman"/>
          <w:b w:val="1"/>
          <w:bCs w:val="1"/>
          <w:rtl w:val="0"/>
        </w:rPr>
        <w:t>PLP</w:t>
      </w:r>
      <w:r>
        <w:rPr>
          <w:rFonts w:ascii="Times Roman" w:hAnsi="Times Roman"/>
          <w:rtl w:val="0"/>
          <w:lang w:val="en-US"/>
        </w:rPr>
        <w:t xml:space="preserve"> at the point of client entry. This is the first, most critical step in data governance, ensuring a clean, auditable, and reliable origin for the data. This structural change is what eliminates the inherent risk of the previous manual process.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Ethical and Employee Benefit:</w:t>
      </w:r>
      <w:r>
        <w:rPr>
          <w:rFonts w:ascii="Times Roman" w:hAnsi="Times Roman"/>
          <w:rtl w:val="0"/>
          <w:lang w:val="en-US"/>
        </w:rPr>
        <w:t xml:space="preserve"> The automation eliminates the need for employees to work late nights and weekends during the peak submission season (January). This positive impact on </w:t>
      </w:r>
      <w:r>
        <w:rPr>
          <w:rFonts w:ascii="Times Roman" w:hAnsi="Times Roman"/>
          <w:b w:val="1"/>
          <w:bCs w:val="1"/>
          <w:rtl w:val="0"/>
          <w:lang w:val="en-US"/>
        </w:rPr>
        <w:t>employee well-being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Fonts w:ascii="Times Roman" w:hAnsi="Times Roman"/>
          <w:b w:val="1"/>
          <w:bCs w:val="1"/>
          <w:rtl w:val="0"/>
          <w:lang w:val="en-US"/>
        </w:rPr>
        <w:t>work-life balance</w:t>
      </w:r>
      <w:r>
        <w:rPr>
          <w:rFonts w:ascii="Times Roman" w:hAnsi="Times Roman"/>
          <w:rtl w:val="0"/>
          <w:lang w:val="en-US"/>
        </w:rPr>
        <w:t xml:space="preserve"> is a significant ethical benefit of the project, allowing staff to reallocate their time to higher-value client relationship activities rather than low-value transcription tasks.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Risk and Communication Strategy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highest-priority threats to project delivery are low client adoption and Subject Matter Expert (SME) resource constraints. These are actively mitigated by executive action and governance controls.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Risk Mitigation: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Low Client Adoption Risk:</w:t>
      </w:r>
      <w:r>
        <w:rPr>
          <w:rFonts w:ascii="Times Roman" w:hAnsi="Times Roman"/>
          <w:rtl w:val="0"/>
          <w:lang w:val="en-US"/>
        </w:rPr>
        <w:t xml:space="preserve"> This is the greatest risk to realizing ROI. It is actively addressed by the </w:t>
      </w:r>
      <w:r>
        <w:rPr>
          <w:rFonts w:ascii="Times Roman" w:hAnsi="Times Roman"/>
          <w:b w:val="1"/>
          <w:bCs w:val="1"/>
          <w:rtl w:val="0"/>
          <w:lang w:val="en-US"/>
        </w:rPr>
        <w:t>Strategic Adoption Checkpoint</w:t>
      </w:r>
      <w:r>
        <w:rPr>
          <w:rFonts w:ascii="Times Roman" w:hAnsi="Times Roman"/>
          <w:rtl w:val="0"/>
          <w:lang w:val="en-US"/>
        </w:rPr>
        <w:t xml:space="preserve"> at T+10 Months, which transfers accountability for achieving the 80% adoption target to the Client Services and Marketing teams.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SME Resource Constraints:</w:t>
      </w:r>
      <w:r>
        <w:rPr>
          <w:rFonts w:ascii="Times Roman" w:hAnsi="Times Roman"/>
          <w:rtl w:val="0"/>
          <w:lang w:val="en-US"/>
        </w:rPr>
        <w:t xml:space="preserve"> This technical risk is mitigated by the </w:t>
      </w:r>
      <w:r>
        <w:rPr>
          <w:rFonts w:ascii="Times Roman" w:hAnsi="Times Roman"/>
          <w:b w:val="1"/>
          <w:bCs w:val="1"/>
          <w:rtl w:val="0"/>
          <w:lang w:val="en-US"/>
        </w:rPr>
        <w:t>Executive Mandate for SME Time</w:t>
      </w:r>
      <w:r>
        <w:rPr>
          <w:rFonts w:ascii="Times Roman" w:hAnsi="Times Roman"/>
          <w:rtl w:val="0"/>
          <w:lang w:val="en-US"/>
        </w:rPr>
        <w:t xml:space="preserve"> secured in the T+1 Month milestone. By executing the critical data mapping as a front-loaded Waterfall phase, the Project Manager strategically leverages the organizational priority of the project to </w:t>
      </w:r>
      <w:r>
        <w:rPr>
          <w:rFonts w:ascii="Times Roman" w:hAnsi="Times Roman"/>
          <w:b w:val="1"/>
          <w:bCs w:val="1"/>
          <w:rtl w:val="0"/>
          <w:lang w:val="en-US"/>
        </w:rPr>
        <w:t>compel resource allocation</w:t>
      </w:r>
      <w:r>
        <w:rPr>
          <w:rFonts w:ascii="Times Roman" w:hAnsi="Times Roman"/>
          <w:rtl w:val="0"/>
          <w:lang w:val="en-US"/>
        </w:rPr>
        <w:t xml:space="preserve"> for necessary non-glamorous work.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Stakeholder Communication:</w:t>
      </w:r>
      <w:r>
        <w:rPr>
          <w:rFonts w:ascii="Times Roman" w:hAnsi="Times Roman"/>
          <w:rtl w:val="0"/>
          <w:lang w:val="en-US"/>
        </w:rPr>
        <w:t xml:space="preserve"> Stakeholder communication is tailored by audience and frequency to maintain focus on the core objectives of cost mitigation and adoption.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Steering Committee (Executive):</w:t>
      </w:r>
      <w:r>
        <w:rPr>
          <w:rFonts w:ascii="Times Roman" w:hAnsi="Times Roman"/>
          <w:rtl w:val="0"/>
          <w:lang w:val="en-US"/>
        </w:rPr>
        <w:t xml:space="preserve"> Will receive bi-weekly briefings focused primarily on </w:t>
      </w:r>
      <w:r>
        <w:rPr>
          <w:rFonts w:ascii="Times Roman" w:hAnsi="Times Roman"/>
          <w:b w:val="1"/>
          <w:bCs w:val="1"/>
          <w:rtl w:val="0"/>
          <w:lang w:val="en-US"/>
        </w:rPr>
        <w:t>Adoption Checkpoint readiness</w:t>
      </w:r>
      <w:r>
        <w:rPr>
          <w:rFonts w:ascii="Times Roman" w:hAnsi="Times Roman"/>
          <w:rtl w:val="0"/>
          <w:lang w:val="en-US"/>
        </w:rPr>
        <w:t>, cost-saving projections, resource concerns, and formal sign-off requests.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Business Stakeholders (Client Services/Marketing):</w:t>
      </w:r>
      <w:r>
        <w:rPr>
          <w:rFonts w:ascii="Times Roman" w:hAnsi="Times Roman"/>
          <w:rtl w:val="0"/>
          <w:lang w:val="en-US"/>
        </w:rPr>
        <w:t xml:space="preserve"> Will be furnished with weekly status reports that detail client portal UI/UX development status, adoption campaign progress, and metrics related to </w:t>
      </w:r>
      <w:r>
        <w:rPr>
          <w:rFonts w:ascii="Times Roman" w:hAnsi="Times Roman"/>
          <w:b w:val="1"/>
          <w:bCs w:val="1"/>
          <w:rtl w:val="0"/>
          <w:lang w:val="en-US"/>
        </w:rPr>
        <w:t>Perceived Ease of Use (PEU)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Technical Teams (IT/DevOps):</w:t>
      </w:r>
      <w:r>
        <w:rPr>
          <w:rFonts w:ascii="Times Roman" w:hAnsi="Times Roman"/>
          <w:rtl w:val="0"/>
          <w:lang w:val="en-US"/>
        </w:rPr>
        <w:t xml:space="preserve"> Will hold daily meetings focused on integration, SSOT development, and </w:t>
      </w:r>
      <w:r>
        <w:rPr>
          <w:rFonts w:ascii="Times Roman" w:hAnsi="Times Roman"/>
          <w:b w:val="1"/>
          <w:bCs w:val="1"/>
          <w:rtl w:val="0"/>
          <w:lang w:val="en-US"/>
        </w:rPr>
        <w:t>ETL validation testing</w:t>
      </w:r>
      <w:r>
        <w:rPr>
          <w:rFonts w:ascii="Times Roman" w:hAnsi="Times Roman"/>
          <w:rtl w:val="0"/>
          <w:lang w:val="en-US"/>
        </w:rPr>
        <w:t>, ensuring the technical integrity of the data pipeline remains the central focus.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This disciplined communication structure ensures that the critical link between the client experience and the multi-million dollar business case remains transparent to all leaders, providing a clear and managed path to strategic success.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