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20689" w14:textId="77777777" w:rsidR="008F5605" w:rsidRPr="008F5605" w:rsidRDefault="008F5605" w:rsidP="008F5605">
      <w:pPr>
        <w:suppressAutoHyphens/>
        <w:spacing w:before="160" w:after="299" w:line="288" w:lineRule="auto"/>
        <w:jc w:val="center"/>
        <w:rPr>
          <w:rFonts w:ascii="Times Roman" w:eastAsia="Arial Unicode MS" w:hAnsi="Times Roman" w:cs="Arial Unicode MS"/>
          <w:b/>
          <w:bCs/>
          <w:color w:val="000000"/>
          <w:kern w:val="0"/>
          <w14:textOutline w14:w="0" w14:cap="flat" w14:cmpd="sng" w14:algn="ctr">
            <w14:noFill/>
            <w14:prstDash w14:val="solid"/>
            <w14:bevel/>
          </w14:textOutline>
          <w14:ligatures w14:val="none"/>
        </w:rPr>
      </w:pPr>
    </w:p>
    <w:p w14:paraId="5EE1783B" w14:textId="77777777" w:rsidR="008F5605" w:rsidRPr="008F5605" w:rsidRDefault="008F5605" w:rsidP="008F5605">
      <w:pPr>
        <w:suppressAutoHyphens/>
        <w:spacing w:before="160" w:after="299" w:line="288" w:lineRule="auto"/>
        <w:jc w:val="center"/>
        <w:rPr>
          <w:rFonts w:ascii="Times Roman" w:eastAsia="Arial Unicode MS" w:hAnsi="Times Roman" w:cs="Arial Unicode MS"/>
          <w:b/>
          <w:bCs/>
          <w:color w:val="000000"/>
          <w:kern w:val="0"/>
          <w14:textOutline w14:w="0" w14:cap="flat" w14:cmpd="sng" w14:algn="ctr">
            <w14:noFill/>
            <w14:prstDash w14:val="solid"/>
            <w14:bevel/>
          </w14:textOutline>
          <w14:ligatures w14:val="none"/>
        </w:rPr>
      </w:pPr>
    </w:p>
    <w:p w14:paraId="0ACE4DB2" w14:textId="77777777" w:rsidR="008F5605" w:rsidRPr="008F5605" w:rsidRDefault="008F5605" w:rsidP="008F5605">
      <w:pPr>
        <w:suppressAutoHyphens/>
        <w:spacing w:before="160" w:after="299" w:line="288" w:lineRule="auto"/>
        <w:jc w:val="center"/>
        <w:rPr>
          <w:rFonts w:ascii="Times Roman" w:eastAsia="Arial Unicode MS" w:hAnsi="Times Roman" w:cs="Arial Unicode MS"/>
          <w:b/>
          <w:bCs/>
          <w:color w:val="000000"/>
          <w:kern w:val="0"/>
          <w14:textOutline w14:w="0" w14:cap="flat" w14:cmpd="sng" w14:algn="ctr">
            <w14:noFill/>
            <w14:prstDash w14:val="solid"/>
            <w14:bevel/>
          </w14:textOutline>
          <w14:ligatures w14:val="none"/>
        </w:rPr>
      </w:pPr>
    </w:p>
    <w:p w14:paraId="27876C79" w14:textId="77777777" w:rsidR="008F5605" w:rsidRPr="008F5605" w:rsidRDefault="008F5605" w:rsidP="008F5605">
      <w:pPr>
        <w:suppressAutoHyphens/>
        <w:spacing w:before="160" w:after="299" w:line="288" w:lineRule="auto"/>
        <w:jc w:val="center"/>
        <w:rPr>
          <w:rFonts w:ascii="Times Roman" w:eastAsia="Arial Unicode MS" w:hAnsi="Times Roman" w:cs="Arial Unicode MS"/>
          <w:b/>
          <w:bCs/>
          <w:color w:val="000000"/>
          <w:kern w:val="0"/>
          <w14:textOutline w14:w="0" w14:cap="flat" w14:cmpd="sng" w14:algn="ctr">
            <w14:noFill/>
            <w14:prstDash w14:val="solid"/>
            <w14:bevel/>
          </w14:textOutline>
          <w14:ligatures w14:val="none"/>
        </w:rPr>
      </w:pPr>
    </w:p>
    <w:p w14:paraId="11592A63" w14:textId="77777777" w:rsidR="008F5605" w:rsidRPr="008F5605" w:rsidRDefault="008F5605" w:rsidP="008F5605">
      <w:pPr>
        <w:suppressAutoHyphens/>
        <w:spacing w:before="160" w:after="299" w:line="288" w:lineRule="auto"/>
        <w:jc w:val="center"/>
        <w:rPr>
          <w:rFonts w:ascii="Times Roman" w:eastAsia="Arial Unicode MS" w:hAnsi="Times Roman" w:cs="Arial Unicode MS"/>
          <w:b/>
          <w:bCs/>
          <w:color w:val="000000"/>
          <w:kern w:val="0"/>
          <w14:textOutline w14:w="0" w14:cap="flat" w14:cmpd="sng" w14:algn="ctr">
            <w14:noFill/>
            <w14:prstDash w14:val="solid"/>
            <w14:bevel/>
          </w14:textOutline>
          <w14:ligatures w14:val="none"/>
        </w:rPr>
      </w:pPr>
      <w:r w:rsidRPr="008F5605">
        <w:rPr>
          <w:rFonts w:ascii="Times Roman" w:eastAsia="Arial Unicode MS" w:hAnsi="Times Roman" w:cs="Arial Unicode MS"/>
          <w:b/>
          <w:bCs/>
          <w:color w:val="000000"/>
          <w:kern w:val="0"/>
          <w14:textOutline w14:w="0" w14:cap="flat" w14:cmpd="sng" w14:algn="ctr">
            <w14:noFill/>
            <w14:prstDash w14:val="solid"/>
            <w14:bevel/>
          </w14:textOutline>
          <w14:ligatures w14:val="none"/>
        </w:rPr>
        <w:t>The Compliance Gateway:</w:t>
      </w:r>
    </w:p>
    <w:p w14:paraId="24BBD5EF" w14:textId="77777777" w:rsidR="008F5605" w:rsidRPr="008F5605" w:rsidRDefault="008F5605" w:rsidP="008F5605">
      <w:pPr>
        <w:suppressAutoHyphens/>
        <w:spacing w:before="160" w:after="299" w:line="288" w:lineRule="auto"/>
        <w:jc w:val="center"/>
        <w:rPr>
          <w:rFonts w:ascii="Times Roman" w:eastAsia="Arial Unicode MS" w:hAnsi="Times Roman" w:cs="Arial Unicode MS"/>
          <w:color w:val="000000"/>
          <w:kern w:val="0"/>
          <w14:textOutline w14:w="0" w14:cap="flat" w14:cmpd="sng" w14:algn="ctr">
            <w14:noFill/>
            <w14:prstDash w14:val="solid"/>
            <w14:bevel/>
          </w14:textOutline>
          <w14:ligatures w14:val="none"/>
        </w:rPr>
      </w:pPr>
      <w:r w:rsidRPr="008F5605">
        <w:rPr>
          <w:rFonts w:ascii="Times Roman" w:eastAsia="Arial Unicode MS" w:hAnsi="Times Roman" w:cs="Arial Unicode MS"/>
          <w:b/>
          <w:bCs/>
          <w:color w:val="000000"/>
          <w:kern w:val="0"/>
          <w14:textOutline w14:w="0" w14:cap="flat" w14:cmpd="sng" w14:algn="ctr">
            <w14:noFill/>
            <w14:prstDash w14:val="solid"/>
            <w14:bevel/>
          </w14:textOutline>
          <w14:ligatures w14:val="none"/>
        </w:rPr>
        <w:t>Systemic Risk Mitigation Through Governance and Architectural Solutions</w:t>
      </w:r>
    </w:p>
    <w:p w14:paraId="550AED9E" w14:textId="77777777" w:rsidR="008F5605" w:rsidRPr="008F5605" w:rsidRDefault="008F5605" w:rsidP="008F5605">
      <w:pPr>
        <w:suppressAutoHyphens/>
        <w:spacing w:before="160" w:after="299" w:line="288" w:lineRule="auto"/>
        <w:jc w:val="center"/>
        <w:rPr>
          <w:rFonts w:ascii="Times Roman" w:eastAsia="Arial Unicode MS" w:hAnsi="Times Roman" w:cs="Arial Unicode MS"/>
          <w:color w:val="000000"/>
          <w:kern w:val="0"/>
          <w14:textOutline w14:w="0" w14:cap="flat" w14:cmpd="sng" w14:algn="ctr">
            <w14:noFill/>
            <w14:prstDash w14:val="solid"/>
            <w14:bevel/>
          </w14:textOutline>
          <w14:ligatures w14:val="none"/>
        </w:rPr>
      </w:pPr>
    </w:p>
    <w:p w14:paraId="1F4A9E4B" w14:textId="77777777" w:rsidR="008F5605" w:rsidRPr="008F5605" w:rsidRDefault="008F5605" w:rsidP="008F5605">
      <w:pPr>
        <w:suppressAutoHyphens/>
        <w:spacing w:before="160" w:after="299" w:line="288" w:lineRule="auto"/>
        <w:jc w:val="center"/>
        <w:rPr>
          <w:rFonts w:ascii="Times Roman" w:eastAsia="Arial Unicode MS" w:hAnsi="Times Roman" w:cs="Arial Unicode MS"/>
          <w:color w:val="000000"/>
          <w:kern w:val="0"/>
          <w14:textOutline w14:w="0" w14:cap="flat" w14:cmpd="sng" w14:algn="ctr">
            <w14:noFill/>
            <w14:prstDash w14:val="solid"/>
            <w14:bevel/>
          </w14:textOutline>
          <w14:ligatures w14:val="none"/>
        </w:rPr>
      </w:pPr>
      <w:r w:rsidRPr="008F5605">
        <w:rPr>
          <w:rFonts w:ascii="Times Roman" w:eastAsia="Arial Unicode MS" w:hAnsi="Times Roman" w:cs="Arial Unicode MS"/>
          <w:color w:val="000000"/>
          <w:kern w:val="0"/>
          <w14:textOutline w14:w="0" w14:cap="flat" w14:cmpd="sng" w14:algn="ctr">
            <w14:noFill/>
            <w14:prstDash w14:val="solid"/>
            <w14:bevel/>
          </w14:textOutline>
          <w14:ligatures w14:val="none"/>
        </w:rPr>
        <w:t>Kate Herrick</w:t>
      </w:r>
    </w:p>
    <w:p w14:paraId="0CA75933" w14:textId="77777777" w:rsidR="008F5605" w:rsidRPr="008F5605" w:rsidRDefault="008F5605" w:rsidP="008F5605">
      <w:pPr>
        <w:suppressAutoHyphens/>
        <w:spacing w:before="160" w:after="299" w:line="288" w:lineRule="auto"/>
        <w:jc w:val="center"/>
        <w:rPr>
          <w:rFonts w:ascii="Times Roman" w:eastAsia="Arial Unicode MS" w:hAnsi="Times Roman" w:cs="Arial Unicode MS"/>
          <w:color w:val="000000"/>
          <w:kern w:val="0"/>
          <w14:textOutline w14:w="0" w14:cap="flat" w14:cmpd="sng" w14:algn="ctr">
            <w14:noFill/>
            <w14:prstDash w14:val="solid"/>
            <w14:bevel/>
          </w14:textOutline>
          <w14:ligatures w14:val="none"/>
        </w:rPr>
      </w:pPr>
      <w:r w:rsidRPr="008F5605">
        <w:rPr>
          <w:rFonts w:ascii="Times Roman" w:eastAsia="Arial Unicode MS" w:hAnsi="Times Roman" w:cs="Arial Unicode MS"/>
          <w:color w:val="000000"/>
          <w:kern w:val="0"/>
          <w14:textOutline w14:w="0" w14:cap="flat" w14:cmpd="sng" w14:algn="ctr">
            <w14:noFill/>
            <w14:prstDash w14:val="solid"/>
            <w14:bevel/>
          </w14:textOutline>
          <w14:ligatures w14:val="none"/>
        </w:rPr>
        <w:t>Capella University</w:t>
      </w:r>
    </w:p>
    <w:p w14:paraId="0B15A49D" w14:textId="77777777" w:rsidR="008F5605" w:rsidRPr="008F5605" w:rsidRDefault="008F5605" w:rsidP="008F5605">
      <w:pPr>
        <w:suppressAutoHyphens/>
        <w:spacing w:before="160" w:after="299" w:line="288" w:lineRule="auto"/>
        <w:jc w:val="center"/>
        <w:rPr>
          <w:rFonts w:ascii="Times Roman" w:eastAsia="Arial Unicode MS" w:hAnsi="Times Roman" w:cs="Arial Unicode MS"/>
          <w:color w:val="000000"/>
          <w:kern w:val="0"/>
          <w14:textOutline w14:w="0" w14:cap="flat" w14:cmpd="sng" w14:algn="ctr">
            <w14:noFill/>
            <w14:prstDash w14:val="solid"/>
            <w14:bevel/>
          </w14:textOutline>
          <w14:ligatures w14:val="none"/>
        </w:rPr>
      </w:pPr>
      <w:r w:rsidRPr="008F5605">
        <w:rPr>
          <w:rFonts w:ascii="Times Roman" w:eastAsia="Arial Unicode MS" w:hAnsi="Times Roman" w:cs="Arial Unicode MS"/>
          <w:color w:val="000000"/>
          <w:kern w:val="0"/>
          <w14:textOutline w14:w="0" w14:cap="flat" w14:cmpd="sng" w14:algn="ctr">
            <w14:noFill/>
            <w14:prstDash w14:val="solid"/>
            <w14:bevel/>
          </w14:textOutline>
          <w14:ligatures w14:val="none"/>
        </w:rPr>
        <w:t>IT-FPX 4997: Capstone I</w:t>
      </w:r>
    </w:p>
    <w:p w14:paraId="5858DF85" w14:textId="77777777" w:rsidR="008F5605" w:rsidRPr="008F5605" w:rsidRDefault="008F5605" w:rsidP="008F5605">
      <w:pPr>
        <w:suppressAutoHyphens/>
        <w:spacing w:before="160" w:after="299" w:line="288" w:lineRule="auto"/>
        <w:jc w:val="center"/>
        <w:rPr>
          <w:rFonts w:ascii="Times Roman" w:eastAsia="Arial Unicode MS" w:hAnsi="Times Roman" w:cs="Arial Unicode MS"/>
          <w:color w:val="000000"/>
          <w:kern w:val="0"/>
          <w14:textOutline w14:w="0" w14:cap="flat" w14:cmpd="sng" w14:algn="ctr">
            <w14:noFill/>
            <w14:prstDash w14:val="solid"/>
            <w14:bevel/>
          </w14:textOutline>
          <w14:ligatures w14:val="none"/>
        </w:rPr>
      </w:pPr>
      <w:r w:rsidRPr="008F5605">
        <w:rPr>
          <w:rFonts w:ascii="Times Roman" w:eastAsia="Arial Unicode MS" w:hAnsi="Times Roman" w:cs="Arial Unicode MS"/>
          <w:color w:val="000000"/>
          <w:kern w:val="0"/>
          <w14:textOutline w14:w="0" w14:cap="flat" w14:cmpd="sng" w14:algn="ctr">
            <w14:noFill/>
            <w14:prstDash w14:val="solid"/>
            <w14:bevel/>
          </w14:textOutline>
          <w14:ligatures w14:val="none"/>
        </w:rPr>
        <w:t>Site Supervisor: Mike Goettl</w:t>
      </w:r>
    </w:p>
    <w:p w14:paraId="6483CBE7" w14:textId="77777777" w:rsidR="008F5605" w:rsidRPr="008F5605" w:rsidRDefault="008F5605" w:rsidP="008F5605">
      <w:pPr>
        <w:suppressAutoHyphens/>
        <w:spacing w:after="299" w:line="240" w:lineRule="auto"/>
        <w:jc w:val="center"/>
        <w:rPr>
          <w:rFonts w:ascii="Helvetica Neue" w:eastAsia="Arial Unicode MS" w:hAnsi="Helvetica Neue" w:cs="Arial Unicode MS"/>
          <w:color w:val="000000"/>
          <w:kern w:val="0"/>
          <w14:textOutline w14:w="0" w14:cap="flat" w14:cmpd="sng" w14:algn="ctr">
            <w14:noFill/>
            <w14:prstDash w14:val="solid"/>
            <w14:bevel/>
          </w14:textOutline>
          <w14:ligatures w14:val="none"/>
        </w:rPr>
      </w:pPr>
      <w:r w:rsidRPr="008F5605">
        <w:rPr>
          <w:rFonts w:ascii="Times Roman" w:eastAsia="Arial Unicode MS" w:hAnsi="Times Roman" w:cs="Arial Unicode MS"/>
          <w:color w:val="000000"/>
          <w:kern w:val="0"/>
          <w14:textOutline w14:w="0" w14:cap="flat" w14:cmpd="sng" w14:algn="ctr">
            <w14:noFill/>
            <w14:prstDash w14:val="solid"/>
            <w14:bevel/>
          </w14:textOutline>
          <w14:ligatures w14:val="none"/>
        </w:rPr>
        <w:t>November 4, 2025</w:t>
      </w:r>
      <w:r w:rsidRPr="008F5605">
        <w:rPr>
          <w:rFonts w:ascii="Arial Unicode MS" w:eastAsia="Arial Unicode MS" w:hAnsi="Arial Unicode MS" w:cs="Arial Unicode MS"/>
          <w:color w:val="000000"/>
          <w:kern w:val="0"/>
          <w:sz w:val="36"/>
          <w:szCs w:val="36"/>
          <w14:textOutline w14:w="0" w14:cap="flat" w14:cmpd="sng" w14:algn="ctr">
            <w14:noFill/>
            <w14:prstDash w14:val="solid"/>
            <w14:bevel/>
          </w14:textOutline>
          <w14:ligatures w14:val="none"/>
        </w:rPr>
        <w:br w:type="page"/>
      </w:r>
    </w:p>
    <w:p w14:paraId="2F324DE9" w14:textId="77777777" w:rsidR="008F5605" w:rsidRPr="008F5605" w:rsidRDefault="008F5605" w:rsidP="008F5605">
      <w:pPr>
        <w:suppressAutoHyphens/>
        <w:spacing w:after="299" w:line="240" w:lineRule="auto"/>
        <w:rPr>
          <w:rFonts w:ascii="Helvetica Neue" w:eastAsia="Arial Unicode MS" w:hAnsi="Helvetica Neue" w:cs="Arial Unicode MS"/>
          <w:smallCaps/>
          <w:color w:val="5A5A5A"/>
          <w:kern w:val="0"/>
          <w:sz w:val="32"/>
          <w:szCs w:val="32"/>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sz w:val="32"/>
          <w:szCs w:val="32"/>
          <w14:textOutline w14:w="0" w14:cap="flat" w14:cmpd="sng" w14:algn="ctr">
            <w14:noFill/>
            <w14:prstDash w14:val="solid"/>
            <w14:bevel/>
          </w14:textOutline>
          <w14:ligatures w14:val="none"/>
        </w:rPr>
        <w:lastRenderedPageBreak/>
        <w:t>Solutions Analysis</w:t>
      </w:r>
    </w:p>
    <w:p w14:paraId="37E3BA30" w14:textId="77777777" w:rsidR="008F5605" w:rsidRPr="008F5605" w:rsidRDefault="008F5605" w:rsidP="008F5605">
      <w:pPr>
        <w:suppressAutoHyphens/>
        <w:spacing w:after="240" w:line="240" w:lineRule="auto"/>
        <w:ind w:firstLine="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The Arborwood University Cost Calculator initiative (the “Gateway” project) aims to resolve organizational challenges related to compliance risk and data availability while enhancing revenue growth. The need for statutorily-compliant mechanisms for furnishing personalized, transparent cost estimates would improve both the legal footing of the University’s cost disclosure methods while improving market position. This analysis formally proposes the integrated solution for the Arborwood Cost Calculator project (the “Gateway" initiative), connecting organizational needs to technical architecture and addressing critical risks, legal requirements, and ethical imperatives.</w:t>
      </w:r>
    </w:p>
    <w:p w14:paraId="366A9569" w14:textId="77777777" w:rsidR="008F5605" w:rsidRPr="008F5605" w:rsidRDefault="008F5605" w:rsidP="008F5605">
      <w:pPr>
        <w:suppressAutoHyphens/>
        <w:spacing w:after="281"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t>Proposed Solutions and Architecture</w:t>
      </w:r>
    </w:p>
    <w:p w14:paraId="31F2AC0C" w14:textId="77777777" w:rsidR="008F5605" w:rsidRPr="008F5605" w:rsidRDefault="008F5605" w:rsidP="008F5605">
      <w:pPr>
        <w:suppressAutoHyphens/>
        <w:spacing w:after="240" w:line="240" w:lineRule="auto"/>
        <w:ind w:firstLine="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The solution to Arborwood</w:t>
      </w:r>
      <w:r w:rsidRPr="008F5605">
        <w:rPr>
          <w:rFonts w:ascii="Times New Roman" w:eastAsia="Arial Unicode MS" w:hAnsi="Times New Roman" w:cs="Times New Roman" w:hint="cs"/>
          <w:color w:val="000000"/>
          <w:kern w:val="0"/>
          <w:rtl/>
          <w14:textOutline w14:w="0" w14:cap="flat" w14:cmpd="sng" w14:algn="ctr">
            <w14:noFill/>
            <w14:prstDash w14:val="solid"/>
            <w14:bevel/>
          </w14:textOutline>
          <w14:ligatures w14:val="none"/>
        </w:rPr>
        <w:t>’</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s problem requires recognition that the challenge is both one of technical execution and governance risk. The first component is the inclusion of a mandatory, non-technical checkpoint requiring formal legal and compliance approval after requirements are defined but before development begins. The inclusion of this gateway in the project serves to mitigate the risk of regulatory violations by mandating a thorough legal review of the project deliverables and formally approving them. The second component is the API integration that replaces manual data entry with a direct, automated, and secure API call to the core student administration system, which serves as the definitive source of truth. </w:t>
      </w:r>
    </w:p>
    <w:p w14:paraId="45BF061A" w14:textId="77777777" w:rsidR="008F5605" w:rsidRPr="008F5605" w:rsidRDefault="008F5605" w:rsidP="008F5605">
      <w:pPr>
        <w:suppressAutoHyphens/>
        <w:spacing w:after="319"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t>Model and Architecture</w:t>
      </w:r>
    </w:p>
    <w:p w14:paraId="4C59E0B2" w14:textId="77777777" w:rsidR="008F5605" w:rsidRPr="008F5605" w:rsidRDefault="008F5605" w:rsidP="008F5605">
      <w:pPr>
        <w:suppressAutoHyphens/>
        <w:spacing w:after="240" w:line="240" w:lineRule="auto"/>
        <w:ind w:firstLine="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The proposed architectural model employs a microservice architecture centered around an API gateway pattern. This approach adheres to the principle of Separation of Concerns (SOC), isolating the user-facing front-end component from the sensitive, transaction-critical data sources held within the administrative system. Specifically, the front-end will be a new component residing within the Adobe Experience Manager (AEM) content management system, handling the user interface and calculation display logic. A custom-built API will act as the data conduit, retrieving current information from the administrative system. This architecture ensures the Single Source of Truth (SSOT) principle is maintained and enables enforcement of the Principle of Least Privilege (PLP), guaranteeing the calculator always pulls the most current, official cost data directly from the organizational source of truth while constraining access to only required data (Pang, 2014). Because the data in the source system is updated no more often than on a quarterly basis, the fetch will not be in real-time, but rather only when source system data changes or when required on an ad hoc basis by business stakeholders.</w:t>
      </w:r>
    </w:p>
    <w:p w14:paraId="2F0DF0EB" w14:textId="77777777" w:rsidR="008F5605" w:rsidRPr="008F5605" w:rsidRDefault="008F5605" w:rsidP="008F5605">
      <w:pPr>
        <w:suppressAutoHyphens/>
        <w:spacing w:after="319"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t>Technology Recommendation and Principles</w:t>
      </w:r>
    </w:p>
    <w:p w14:paraId="44E0428F" w14:textId="77777777" w:rsidR="008F5605" w:rsidRPr="008F5605"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The recommendation is to develop the API layer using the University’s existing Node.js framework and hosting it within Arborwood’s existing Google Cloud Platform (GCP) cloud environment, leveraging Cloud Functions for the underlying event-driven code to ensure high availability and isolation (Vossen, 2014). </w:t>
      </w:r>
    </w:p>
    <w:p w14:paraId="6A6643F5" w14:textId="77777777" w:rsidR="008F5605" w:rsidRPr="008F5605" w:rsidRDefault="008F5605" w:rsidP="008F5605">
      <w:pPr>
        <w:numPr>
          <w:ilvl w:val="0"/>
          <w:numId w:val="1"/>
        </w:numPr>
        <w:suppressAutoHyphens/>
        <w:spacing w:after="240" w:line="240" w:lineRule="auto"/>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lang w:val="nl-NL"/>
          <w14:textOutline w14:w="0" w14:cap="flat" w14:cmpd="sng" w14:algn="ctr">
            <w14:noFill/>
            <w14:prstDash w14:val="solid"/>
            <w14:bevel/>
          </w14:textOutline>
          <w14:ligatures w14:val="none"/>
        </w:rPr>
        <w:lastRenderedPageBreak/>
        <w:t>Data integrity</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is strictly enforced by the SSOT principle, which eliminates the potential for manual data entry errors. </w:t>
      </w:r>
    </w:p>
    <w:p w14:paraId="704A104D" w14:textId="77777777" w:rsidR="008F5605" w:rsidRPr="008F5605" w:rsidRDefault="008F5605" w:rsidP="008F5605">
      <w:pPr>
        <w:numPr>
          <w:ilvl w:val="0"/>
          <w:numId w:val="1"/>
        </w:numPr>
        <w:suppressAutoHyphens/>
        <w:spacing w:after="240" w:line="240" w:lineRule="auto"/>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Security is maintained through adherence to the PLP as enforced by Arborwood’s existing policies, ensuring the API only has read-only access to the minimum necessary financial data fields in the administrative system. </w:t>
      </w:r>
    </w:p>
    <w:p w14:paraId="6460554E" w14:textId="77777777" w:rsidR="008F5605" w:rsidRPr="008F5605" w:rsidRDefault="008F5605" w:rsidP="008F5605">
      <w:pPr>
        <w:numPr>
          <w:ilvl w:val="0"/>
          <w:numId w:val="1"/>
        </w:numPr>
        <w:suppressAutoHyphens/>
        <w:spacing w:after="240" w:line="240" w:lineRule="auto"/>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Resilience is achieved by utilizing the microservice pattern, which allows the calculator to function independently and maintain availability even if other internal systems are disrupted.</w:t>
      </w:r>
    </w:p>
    <w:p w14:paraId="5EB56A93" w14:textId="77777777" w:rsidR="008F5605" w:rsidRPr="008F5605" w:rsidRDefault="008F5605" w:rsidP="008F5605">
      <w:pPr>
        <w:spacing w:after="0" w:line="240" w:lineRule="auto"/>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kern w:val="0"/>
          <w14:ligatures w14:val="none"/>
        </w:rPr>
        <w:br w:type="page"/>
      </w:r>
    </w:p>
    <w:p w14:paraId="70C6700D" w14:textId="77777777" w:rsidR="008F5605" w:rsidRPr="008F5605" w:rsidRDefault="008F5605" w:rsidP="008F5605">
      <w:pPr>
        <w:suppressAutoHyphens/>
        <w:spacing w:after="240" w:line="240" w:lineRule="auto"/>
        <w:ind w:left="1080"/>
        <w:rPr>
          <w:rFonts w:ascii="Times New Roman" w:eastAsia="Times Roman" w:hAnsi="Times New Roman" w:cs="Times New Roman"/>
          <w:color w:val="000000"/>
          <w:kern w:val="0"/>
          <w14:textOutline w14:w="0" w14:cap="flat" w14:cmpd="sng" w14:algn="ctr">
            <w14:noFill/>
            <w14:prstDash w14:val="solid"/>
            <w14:bevel/>
          </w14:textOutline>
          <w14:ligatures w14:val="none"/>
        </w:rPr>
      </w:pPr>
    </w:p>
    <w:p w14:paraId="07C59D16" w14:textId="77777777" w:rsidR="008F5605" w:rsidRPr="008F5605" w:rsidRDefault="008F5605" w:rsidP="008F5605">
      <w:pPr>
        <w:suppressAutoHyphens/>
        <w:spacing w:after="281" w:line="240" w:lineRule="auto"/>
        <w:rPr>
          <w:rFonts w:ascii="Helvetica Neue" w:eastAsia="Arial Unicode MS" w:hAnsi="Helvetica Neue" w:cs="Arial Unicode MS"/>
          <w:smallCaps/>
          <w:color w:val="5A5A5A"/>
          <w:kern w:val="0"/>
          <w:sz w:val="32"/>
          <w:szCs w:val="32"/>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sz w:val="32"/>
          <w:szCs w:val="32"/>
          <w14:textOutline w14:w="0" w14:cap="flat" w14:cmpd="sng" w14:algn="ctr">
            <w14:noFill/>
            <w14:prstDash w14:val="solid"/>
            <w14:bevel/>
          </w14:textOutline>
          <w14:ligatures w14:val="none"/>
        </w:rPr>
        <w:t>Needs, Industry Alignment, and Stakeholder Concerns</w:t>
      </w:r>
    </w:p>
    <w:p w14:paraId="4327F9EF" w14:textId="77777777" w:rsidR="008F5605" w:rsidRPr="008F5605" w:rsidRDefault="008F5605" w:rsidP="008F5605">
      <w:pPr>
        <w:suppressAutoHyphens/>
        <w:spacing w:after="240" w:line="240" w:lineRule="auto"/>
        <w:ind w:firstLine="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The integrated solution directly addresses an organizational problem and key stakeholder concerns while ensuring Arborwood maintains alignment with industry best practices.</w:t>
      </w:r>
    </w:p>
    <w:p w14:paraId="6FAC0E5A" w14:textId="77777777" w:rsidR="008F5605" w:rsidRPr="008F5605" w:rsidRDefault="008F5605" w:rsidP="008F5605">
      <w:pPr>
        <w:suppressAutoHyphens/>
        <w:spacing w:after="319"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t>Addressing Organizational Needs and Stakeholder Concerns</w:t>
      </w:r>
    </w:p>
    <w:p w14:paraId="36AF8C4E" w14:textId="77777777" w:rsidR="008F5605" w:rsidRPr="008F5605"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The University’s marketing team is continually searching for methods by which conversions can be increased on its commercial, publicly-facing websites. The proposed calculator solution resolves the friction point in the enrollment funnel by addressing the lack of cost transparency. By furnishing the solution with data from the enterprise source of truth, prospects are able to access the accurate, personalized estimate they desire, removing a major barrier to conversion. At a time when the online learning sector in higher education is becoming increasingly saturated, Arborwood’s marketing team has identified cost transparency as a major differentiator that has the potential to contribute nearly $10 million in revenue in the first year of the calculator’s implementation.</w:t>
      </w:r>
    </w:p>
    <w:p w14:paraId="07A65EB0" w14:textId="77777777" w:rsidR="008F5605" w:rsidRPr="008F5605"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For Arborwood’s legal leadership, the most pressing concern is the high risk of statutory violation and the potential for litigation stemming from imprecise cost estimates. The combination of highly complex and granular calculations for hundreds of degree programs, coupled with the need to ensure the availability of accurate data, underscores the need for a comprehensive legal review of the project’s requirements and deliverables as part of a larger, formal approval process. Neither business stakeholders nor IT have the expertise to evaluate the compliance implications or litigation risk of the solution, and initiating development of the solution without legal approval poses the threat of abandonment of the final deliverable due to unconstrained risk. By incorporating a mandated compliance gateway in the project charter, formal, documented legal oversight occurs before significant capital is committed to development. </w:t>
      </w:r>
    </w:p>
    <w:p w14:paraId="148B2AF4" w14:textId="77777777" w:rsidR="008F5605" w:rsidRPr="008F5605"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Information Technology</w:t>
      </w:r>
      <w:r w:rsidRPr="008F5605">
        <w:rPr>
          <w:rFonts w:ascii="Times New Roman" w:eastAsia="Arial Unicode MS" w:hAnsi="Times New Roman" w:cs="Times New Roman" w:hint="cs"/>
          <w:color w:val="000000"/>
          <w:kern w:val="0"/>
          <w:rtl/>
          <w14:textOutline w14:w="0" w14:cap="flat" w14:cmpd="sng" w14:algn="ctr">
            <w14:noFill/>
            <w14:prstDash w14:val="solid"/>
            <w14:bevel/>
          </w14:textOutline>
          <w14:ligatures w14:val="none"/>
        </w:rPr>
        <w:t>’</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s concerns, which include technical debt, manual data entry risk, and system fragility, are mitigated by the API integration, which replaces risky manual processes with a maintainable, secure, and resilient data service, ultimately reducing future maintenance overhead. And in an organization where skepticism is an ongoing concern, the legal review and approval gateway affords IT with the confidence to move forward with development, secure in the knowledge that a fully compliant and defined solution will be built and delivered.</w:t>
      </w:r>
    </w:p>
    <w:p w14:paraId="39FBA224" w14:textId="77777777" w:rsidR="008F5605" w:rsidRPr="008F5605" w:rsidRDefault="008F5605" w:rsidP="008F5605">
      <w:pPr>
        <w:suppressAutoHyphens/>
        <w:spacing w:after="240" w:line="240" w:lineRule="auto"/>
        <w:rPr>
          <w:rFonts w:ascii="Times New Roman" w:eastAsia="Times Roman" w:hAnsi="Times New Roman" w:cs="Times New Roman"/>
          <w:color w:val="000000"/>
          <w:kern w:val="0"/>
          <w14:textOutline w14:w="0" w14:cap="flat" w14:cmpd="sng" w14:algn="ctr">
            <w14:noFill/>
            <w14:prstDash w14:val="solid"/>
            <w14:bevel/>
          </w14:textOutline>
          <w14:ligatures w14:val="none"/>
        </w:rPr>
      </w:pPr>
    </w:p>
    <w:p w14:paraId="05880E35" w14:textId="77777777" w:rsidR="008F5605" w:rsidRPr="008F5605" w:rsidRDefault="008F5605" w:rsidP="008F5605">
      <w:pPr>
        <w:suppressAutoHyphens/>
        <w:spacing w:after="319"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t>Connection to Global IT Trends</w:t>
      </w:r>
    </w:p>
    <w:p w14:paraId="4F95B389" w14:textId="77777777" w:rsidR="008F5605" w:rsidRPr="008F5605"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The entire solution aligns Arborwood with the global IT trend related to data integration via </w:t>
      </w:r>
      <w:r w:rsidRPr="008F5605">
        <w:rPr>
          <w:rFonts w:ascii="Times New Roman" w:eastAsia="Arial Unicode MS" w:hAnsi="Times New Roman" w:cs="Times New Roman"/>
          <w:color w:val="000000"/>
          <w:kern w:val="0"/>
          <w:lang w:val="de-DE"/>
          <w14:textOutline w14:w="0" w14:cap="flat" w14:cmpd="sng" w14:algn="ctr">
            <w14:noFill/>
            <w14:prstDash w14:val="solid"/>
            <w14:bevel/>
          </w14:textOutline>
          <w14:ligatures w14:val="none"/>
        </w:rPr>
        <w:t>real-time data ecosystems</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While this project’s data needs are not truly real-time, the implementation of a dedicated API layer is a necessary step towards building a modern, integrated enterprise architecture. In fact, the data retrieved from the student administration system can be leveraged for several purposes other than the cost calculator, which, over time, </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lastRenderedPageBreak/>
        <w:t>will form the foundation of a larger-scale integration effort that has the potential to result in substantial cost savings while bringing the websites into alignment with larger IT trends. This strategic move away from outdated, manual processes towards secure, instantaneous data calls is mandatory for competing in the higher education industry, where prospective students expect the same accurate data seen in the financial services or e-commerce sectors. Arborwood is well-served by recognizing that consumers have come to place a great deal of value in information that is easy to consume, relevant to their needs, and personalized to their requirements (Irawan, 2025). Lastly, the adoption of a cloud-native approach to data integration is fully aligned with the University’s larger cloud migration strategy and automation initiatives, which have been ongoing for several years.</w:t>
      </w:r>
    </w:p>
    <w:p w14:paraId="3D157605" w14:textId="77777777" w:rsidR="008F5605" w:rsidRPr="008F5605" w:rsidRDefault="008F5605" w:rsidP="008F5605">
      <w:pPr>
        <w:suppressAutoHyphens/>
        <w:spacing w:after="281"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t>Risk Analysis and Minimization</w:t>
      </w:r>
    </w:p>
    <w:p w14:paraId="7B5D8331" w14:textId="77777777" w:rsidR="008F5605" w:rsidRPr="008F5605" w:rsidRDefault="008F5605" w:rsidP="008F5605">
      <w:pPr>
        <w:suppressAutoHyphens/>
        <w:spacing w:after="240" w:line="240" w:lineRule="auto"/>
        <w:ind w:firstLine="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The project, while essential, carries specific implementation risks that must be systematically managed through proactive mitigation strategies.</w:t>
      </w:r>
    </w:p>
    <w:p w14:paraId="4D7EE5C9" w14:textId="77777777" w:rsidR="008F5605" w:rsidRPr="008F5605" w:rsidRDefault="008F5605" w:rsidP="008F5605">
      <w:pPr>
        <w:suppressAutoHyphens/>
        <w:spacing w:after="240" w:line="240" w:lineRule="auto"/>
        <w:ind w:firstLine="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One risk relates to the availability of subject matter experts (SMEs). The project is dependent on the time and availability of SMEs from the student administration system development team for defining and validating the precise API endpoints. If these resources are denied, data integrity will be compromised. The strategy to minimize this involves executive sponsorship and allocation, securing formal executive approval for dedicated SME bandwidth, with this risk being monitored weekly in the Project Steering Committee.</w:t>
      </w:r>
    </w:p>
    <w:p w14:paraId="18423AF2" w14:textId="77777777" w:rsidR="008F5605" w:rsidRPr="008F5605" w:rsidRDefault="008F5605" w:rsidP="008F5605">
      <w:pPr>
        <w:suppressAutoHyphens/>
        <w:spacing w:after="240" w:line="240" w:lineRule="auto"/>
        <w:ind w:firstLine="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A second major risk is data integrity failure, where the API is incorrectly coded, leading to inaccurate data, which could result in regulatory violations. This is minimized through the compliance gateway approval, which mandates final legal and IT validation of all calculation use cases and data mappings </w:t>
      </w:r>
      <w:r w:rsidRPr="008F5605">
        <w:rPr>
          <w:rFonts w:ascii="Times New Roman" w:eastAsia="Arial Unicode MS" w:hAnsi="Times New Roman" w:cs="Times New Roman"/>
          <w:i/>
          <w:iCs/>
          <w:color w:val="000000"/>
          <w:kern w:val="0"/>
          <w14:textOutline w14:w="0" w14:cap="flat" w14:cmpd="sng" w14:algn="ctr">
            <w14:noFill/>
            <w14:prstDash w14:val="solid"/>
            <w14:bevel/>
          </w14:textOutline>
          <w14:ligatures w14:val="none"/>
        </w:rPr>
        <w:t>before</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development. Furthermore, automated unit and integration testing of the API will be implemented to ensure 100% data fidelity against source systems.</w:t>
      </w:r>
    </w:p>
    <w:p w14:paraId="3FDC111C" w14:textId="77777777" w:rsidR="008F5605" w:rsidRPr="008F5605" w:rsidRDefault="008F5605" w:rsidP="008F5605">
      <w:pPr>
        <w:suppressAutoHyphens/>
        <w:spacing w:after="240" w:line="240" w:lineRule="auto"/>
        <w:ind w:firstLine="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Finally, there is the risk of legacy system dependency, where the API's success relies on the stability and availability of the legacy administrative system. This must be addressed by formalizing contractual service level agreements with the administrative system’s operations team to guarantee minimum API uptime. Although data fetch will not happen in real time, marketing will have the ability and authority to initiate it at any time of their choosing, and thus the SLA must ensure data availability as if the call were made in real time. </w:t>
      </w:r>
    </w:p>
    <w:p w14:paraId="788925AD" w14:textId="77777777" w:rsidR="008F5605" w:rsidRPr="008F5605"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This systemic approach ensures that the project</w:t>
      </w:r>
      <w:r w:rsidRPr="008F5605">
        <w:rPr>
          <w:rFonts w:ascii="Times New Roman" w:eastAsia="Arial Unicode MS" w:hAnsi="Times New Roman" w:cs="Times New Roman" w:hint="cs"/>
          <w:color w:val="000000"/>
          <w:kern w:val="0"/>
          <w:rtl/>
          <w14:textOutline w14:w="0" w14:cap="flat" w14:cmpd="sng" w14:algn="ctr">
            <w14:noFill/>
            <w14:prstDash w14:val="solid"/>
            <w14:bevel/>
          </w14:textOutline>
          <w14:ligatures w14:val="none"/>
        </w:rPr>
        <w:t>’</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s high-level risk of regulatory non-compliance is broken down into manageable technical and governance risks, each addressed by a specific, proactive mitigation strategy.</w:t>
      </w:r>
    </w:p>
    <w:p w14:paraId="40775B21" w14:textId="77777777" w:rsidR="008F5605" w:rsidRPr="008F5605" w:rsidRDefault="008F5605" w:rsidP="008F5605">
      <w:pPr>
        <w:suppressAutoHyphens/>
        <w:spacing w:after="240"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t>Risk Matrix</w:t>
      </w:r>
    </w:p>
    <w:tbl>
      <w:tblPr>
        <w:tblStyle w:val="TableGrid"/>
        <w:tblW w:w="0" w:type="auto"/>
        <w:tblInd w:w="0" w:type="dxa"/>
        <w:tblLook w:val="04A0" w:firstRow="1" w:lastRow="0" w:firstColumn="1" w:lastColumn="0" w:noHBand="0" w:noVBand="1"/>
      </w:tblPr>
      <w:tblGrid>
        <w:gridCol w:w="939"/>
        <w:gridCol w:w="2299"/>
        <w:gridCol w:w="1686"/>
        <w:gridCol w:w="1191"/>
        <w:gridCol w:w="1080"/>
        <w:gridCol w:w="2155"/>
      </w:tblGrid>
      <w:tr w:rsidR="008F5605" w:rsidRPr="008F5605" w14:paraId="3FD5E08F" w14:textId="77777777" w:rsidTr="008F5605">
        <w:trPr>
          <w:tblHeader/>
        </w:trPr>
        <w:tc>
          <w:tcPr>
            <w:tcW w:w="939" w:type="dxa"/>
            <w:tcBorders>
              <w:top w:val="single" w:sz="4" w:space="0" w:color="auto"/>
              <w:left w:val="single" w:sz="4" w:space="0" w:color="auto"/>
              <w:bottom w:val="single" w:sz="4" w:space="0" w:color="auto"/>
              <w:right w:val="single" w:sz="4" w:space="0" w:color="auto"/>
            </w:tcBorders>
            <w:shd w:val="clear" w:color="auto" w:fill="CCECFF"/>
            <w:hideMark/>
          </w:tcPr>
          <w:p w14:paraId="3DEFCF70"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color w:val="000000"/>
                <w14:textOutline w14:w="0" w14:cap="flat" w14:cmpd="sng" w14:algn="ctr">
                  <w14:noFill/>
                  <w14:prstDash w14:val="solid"/>
                  <w14:bevel/>
                </w14:textOutline>
              </w:rPr>
              <w:t>Risk ID</w:t>
            </w:r>
          </w:p>
        </w:tc>
        <w:tc>
          <w:tcPr>
            <w:tcW w:w="2299" w:type="dxa"/>
            <w:tcBorders>
              <w:top w:val="single" w:sz="4" w:space="0" w:color="auto"/>
              <w:left w:val="single" w:sz="4" w:space="0" w:color="auto"/>
              <w:bottom w:val="single" w:sz="4" w:space="0" w:color="auto"/>
              <w:right w:val="single" w:sz="4" w:space="0" w:color="auto"/>
            </w:tcBorders>
            <w:shd w:val="clear" w:color="auto" w:fill="CCECFF"/>
            <w:hideMark/>
          </w:tcPr>
          <w:p w14:paraId="33F5DC59"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color w:val="000000"/>
                <w14:textOutline w14:w="0" w14:cap="flat" w14:cmpd="sng" w14:algn="ctr">
                  <w14:noFill/>
                  <w14:prstDash w14:val="solid"/>
                  <w14:bevel/>
                </w14:textOutline>
              </w:rPr>
              <w:t>Risk Description</w:t>
            </w:r>
          </w:p>
        </w:tc>
        <w:tc>
          <w:tcPr>
            <w:tcW w:w="1686" w:type="dxa"/>
            <w:tcBorders>
              <w:top w:val="single" w:sz="4" w:space="0" w:color="auto"/>
              <w:left w:val="single" w:sz="4" w:space="0" w:color="auto"/>
              <w:bottom w:val="single" w:sz="4" w:space="0" w:color="auto"/>
              <w:right w:val="single" w:sz="4" w:space="0" w:color="auto"/>
            </w:tcBorders>
            <w:shd w:val="clear" w:color="auto" w:fill="CCECFF"/>
            <w:hideMark/>
          </w:tcPr>
          <w:p w14:paraId="7A1301F1"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color w:val="000000"/>
                <w14:textOutline w14:w="0" w14:cap="flat" w14:cmpd="sng" w14:algn="ctr">
                  <w14:noFill/>
                  <w14:prstDash w14:val="solid"/>
                  <w14:bevel/>
                </w14:textOutline>
              </w:rPr>
              <w:t>Probability (P)</w:t>
            </w:r>
          </w:p>
        </w:tc>
        <w:tc>
          <w:tcPr>
            <w:tcW w:w="1191" w:type="dxa"/>
            <w:tcBorders>
              <w:top w:val="single" w:sz="4" w:space="0" w:color="auto"/>
              <w:left w:val="single" w:sz="4" w:space="0" w:color="auto"/>
              <w:bottom w:val="single" w:sz="4" w:space="0" w:color="auto"/>
              <w:right w:val="single" w:sz="4" w:space="0" w:color="auto"/>
            </w:tcBorders>
            <w:shd w:val="clear" w:color="auto" w:fill="CCECFF"/>
            <w:hideMark/>
          </w:tcPr>
          <w:p w14:paraId="463E82EC"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color w:val="000000"/>
                <w14:textOutline w14:w="0" w14:cap="flat" w14:cmpd="sng" w14:algn="ctr">
                  <w14:noFill/>
                  <w14:prstDash w14:val="solid"/>
                  <w14:bevel/>
                </w14:textOutline>
              </w:rPr>
              <w:t>Impact (I)</w:t>
            </w:r>
          </w:p>
        </w:tc>
        <w:tc>
          <w:tcPr>
            <w:tcW w:w="1080" w:type="dxa"/>
            <w:tcBorders>
              <w:top w:val="single" w:sz="4" w:space="0" w:color="auto"/>
              <w:left w:val="single" w:sz="4" w:space="0" w:color="auto"/>
              <w:bottom w:val="single" w:sz="4" w:space="0" w:color="auto"/>
              <w:right w:val="single" w:sz="4" w:space="0" w:color="auto"/>
            </w:tcBorders>
            <w:shd w:val="clear" w:color="auto" w:fill="CCECFF"/>
            <w:hideMark/>
          </w:tcPr>
          <w:p w14:paraId="673161B0" w14:textId="77777777" w:rsidR="008F5605" w:rsidRPr="008F5605" w:rsidRDefault="008F5605" w:rsidP="008F5605">
            <w:r w:rsidRPr="008F5605">
              <w:t>Score</w:t>
            </w:r>
          </w:p>
          <w:p w14:paraId="6C7D817D" w14:textId="77777777" w:rsidR="008F5605" w:rsidRPr="008F5605" w:rsidRDefault="008F5605" w:rsidP="008F5605">
            <w:pPr>
              <w:rPr>
                <w:rFonts w:eastAsia="Times Roman"/>
              </w:rPr>
            </w:pPr>
            <w:r w:rsidRPr="008F5605">
              <w:t>(P x I)</w:t>
            </w:r>
          </w:p>
        </w:tc>
        <w:tc>
          <w:tcPr>
            <w:tcW w:w="2155" w:type="dxa"/>
            <w:tcBorders>
              <w:top w:val="single" w:sz="4" w:space="0" w:color="auto"/>
              <w:left w:val="single" w:sz="4" w:space="0" w:color="auto"/>
              <w:bottom w:val="single" w:sz="4" w:space="0" w:color="auto"/>
              <w:right w:val="single" w:sz="4" w:space="0" w:color="auto"/>
            </w:tcBorders>
            <w:shd w:val="clear" w:color="auto" w:fill="CCECFF"/>
            <w:hideMark/>
          </w:tcPr>
          <w:p w14:paraId="25DD8F79" w14:textId="77777777" w:rsidR="008F5605" w:rsidRPr="008F5605" w:rsidRDefault="008F5605" w:rsidP="008F5605">
            <w:pPr>
              <w:suppressAutoHyphens/>
              <w:spacing w:after="240"/>
              <w:rPr>
                <w:color w:val="000000"/>
                <w14:textOutline w14:w="0" w14:cap="flat" w14:cmpd="sng" w14:algn="ctr">
                  <w14:noFill/>
                  <w14:prstDash w14:val="solid"/>
                  <w14:bevel/>
                </w14:textOutline>
              </w:rPr>
            </w:pPr>
            <w:r w:rsidRPr="008F5605">
              <w:rPr>
                <w:color w:val="000000"/>
                <w14:textOutline w14:w="0" w14:cap="flat" w14:cmpd="sng" w14:algn="ctr">
                  <w14:noFill/>
                  <w14:prstDash w14:val="solid"/>
                  <w14:bevel/>
                </w14:textOutline>
              </w:rPr>
              <w:t>Mitigation Strategy</w:t>
            </w:r>
          </w:p>
        </w:tc>
      </w:tr>
      <w:tr w:rsidR="008F5605" w:rsidRPr="008F5605" w14:paraId="778B60D3" w14:textId="77777777">
        <w:tc>
          <w:tcPr>
            <w:tcW w:w="939" w:type="dxa"/>
            <w:tcBorders>
              <w:top w:val="single" w:sz="4" w:space="0" w:color="auto"/>
              <w:left w:val="single" w:sz="4" w:space="0" w:color="auto"/>
              <w:bottom w:val="single" w:sz="4" w:space="0" w:color="auto"/>
              <w:right w:val="single" w:sz="4" w:space="0" w:color="auto"/>
            </w:tcBorders>
            <w:hideMark/>
          </w:tcPr>
          <w:p w14:paraId="0B14B25B"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R-01</w:t>
            </w:r>
          </w:p>
        </w:tc>
        <w:tc>
          <w:tcPr>
            <w:tcW w:w="2299" w:type="dxa"/>
            <w:tcBorders>
              <w:top w:val="single" w:sz="4" w:space="0" w:color="auto"/>
              <w:left w:val="single" w:sz="4" w:space="0" w:color="auto"/>
              <w:bottom w:val="single" w:sz="4" w:space="0" w:color="auto"/>
              <w:right w:val="single" w:sz="4" w:space="0" w:color="auto"/>
            </w:tcBorders>
            <w:hideMark/>
          </w:tcPr>
          <w:p w14:paraId="340B0FD2"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SME Resource Constraints.</w:t>
            </w:r>
            <w:r w:rsidRPr="008F5605">
              <w:rPr>
                <w:rFonts w:eastAsia="Times Roman"/>
                <w:color w:val="000000"/>
                <w14:textOutline w14:w="0" w14:cap="flat" w14:cmpd="sng" w14:algn="ctr">
                  <w14:noFill/>
                  <w14:prstDash w14:val="solid"/>
                  <w14:bevel/>
                </w14:textOutline>
              </w:rPr>
              <w:br/>
              <w:t>Subject Matter Expert Availability.</w:t>
            </w:r>
            <w:r w:rsidRPr="008F5605">
              <w:rPr>
                <w:rFonts w:eastAsia="Times Roman"/>
                <w:color w:val="000000"/>
                <w14:textOutline w14:w="0" w14:cap="flat" w14:cmpd="sng" w14:algn="ctr">
                  <w14:noFill/>
                  <w14:prstDash w14:val="solid"/>
                  <w14:bevel/>
                </w14:textOutline>
              </w:rPr>
              <w:br/>
            </w:r>
            <w:r w:rsidRPr="008F5605">
              <w:rPr>
                <w:rFonts w:eastAsia="Times Roman"/>
                <w:color w:val="000000"/>
                <w14:textOutline w14:w="0" w14:cap="flat" w14:cmpd="sng" w14:algn="ctr">
                  <w14:noFill/>
                  <w14:prstDash w14:val="solid"/>
                  <w14:bevel/>
                </w14:textOutline>
              </w:rPr>
              <w:lastRenderedPageBreak/>
              <w:br/>
              <w:t>Resources from the administration system team may be unavailable to dedicate time to support and validate API endpoints.</w:t>
            </w:r>
          </w:p>
        </w:tc>
        <w:tc>
          <w:tcPr>
            <w:tcW w:w="1686" w:type="dxa"/>
            <w:tcBorders>
              <w:top w:val="single" w:sz="4" w:space="0" w:color="auto"/>
              <w:left w:val="single" w:sz="4" w:space="0" w:color="auto"/>
              <w:bottom w:val="single" w:sz="4" w:space="0" w:color="auto"/>
              <w:right w:val="single" w:sz="4" w:space="0" w:color="auto"/>
            </w:tcBorders>
            <w:hideMark/>
          </w:tcPr>
          <w:p w14:paraId="276ABF10"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lastRenderedPageBreak/>
              <w:t>High</w:t>
            </w:r>
          </w:p>
        </w:tc>
        <w:tc>
          <w:tcPr>
            <w:tcW w:w="1191" w:type="dxa"/>
            <w:tcBorders>
              <w:top w:val="single" w:sz="4" w:space="0" w:color="auto"/>
              <w:left w:val="single" w:sz="4" w:space="0" w:color="auto"/>
              <w:bottom w:val="single" w:sz="4" w:space="0" w:color="auto"/>
              <w:right w:val="single" w:sz="4" w:space="0" w:color="auto"/>
            </w:tcBorders>
            <w:hideMark/>
          </w:tcPr>
          <w:p w14:paraId="45307F23"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High</w:t>
            </w:r>
          </w:p>
        </w:tc>
        <w:tc>
          <w:tcPr>
            <w:tcW w:w="1080" w:type="dxa"/>
            <w:tcBorders>
              <w:top w:val="single" w:sz="4" w:space="0" w:color="auto"/>
              <w:left w:val="single" w:sz="4" w:space="0" w:color="auto"/>
              <w:bottom w:val="single" w:sz="4" w:space="0" w:color="auto"/>
              <w:right w:val="single" w:sz="4" w:space="0" w:color="auto"/>
            </w:tcBorders>
            <w:hideMark/>
          </w:tcPr>
          <w:p w14:paraId="708A2FA3"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High</w:t>
            </w:r>
          </w:p>
        </w:tc>
        <w:tc>
          <w:tcPr>
            <w:tcW w:w="2155" w:type="dxa"/>
            <w:tcBorders>
              <w:top w:val="single" w:sz="4" w:space="0" w:color="auto"/>
              <w:left w:val="single" w:sz="4" w:space="0" w:color="auto"/>
              <w:bottom w:val="single" w:sz="4" w:space="0" w:color="auto"/>
              <w:right w:val="single" w:sz="4" w:space="0" w:color="auto"/>
            </w:tcBorders>
            <w:hideMark/>
          </w:tcPr>
          <w:p w14:paraId="00527CD3"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 xml:space="preserve">Secure executive sponsorship allocating </w:t>
            </w:r>
            <w:r w:rsidRPr="008F5605">
              <w:rPr>
                <w:rFonts w:eastAsia="Times Roman"/>
                <w:color w:val="000000"/>
                <w14:textOutline w14:w="0" w14:cap="flat" w14:cmpd="sng" w14:algn="ctr">
                  <w14:noFill/>
                  <w14:prstDash w14:val="solid"/>
                  <w14:bevel/>
                </w14:textOutline>
              </w:rPr>
              <w:lastRenderedPageBreak/>
              <w:t>dedicated and protected resources.</w:t>
            </w:r>
          </w:p>
        </w:tc>
      </w:tr>
      <w:tr w:rsidR="008F5605" w:rsidRPr="008F5605" w14:paraId="5ED19461" w14:textId="77777777">
        <w:tc>
          <w:tcPr>
            <w:tcW w:w="939" w:type="dxa"/>
            <w:tcBorders>
              <w:top w:val="single" w:sz="4" w:space="0" w:color="auto"/>
              <w:left w:val="single" w:sz="4" w:space="0" w:color="auto"/>
              <w:bottom w:val="single" w:sz="4" w:space="0" w:color="auto"/>
              <w:right w:val="single" w:sz="4" w:space="0" w:color="auto"/>
            </w:tcBorders>
            <w:hideMark/>
          </w:tcPr>
          <w:p w14:paraId="390E6502"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lastRenderedPageBreak/>
              <w:t>R-02</w:t>
            </w:r>
          </w:p>
        </w:tc>
        <w:tc>
          <w:tcPr>
            <w:tcW w:w="2299" w:type="dxa"/>
            <w:tcBorders>
              <w:top w:val="single" w:sz="4" w:space="0" w:color="auto"/>
              <w:left w:val="single" w:sz="4" w:space="0" w:color="auto"/>
              <w:bottom w:val="single" w:sz="4" w:space="0" w:color="auto"/>
              <w:right w:val="single" w:sz="4" w:space="0" w:color="auto"/>
            </w:tcBorders>
            <w:hideMark/>
          </w:tcPr>
          <w:p w14:paraId="7845C43B"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Legacy System Dependency.</w:t>
            </w:r>
            <w:r w:rsidRPr="008F5605">
              <w:rPr>
                <w:rFonts w:eastAsia="Times Roman"/>
                <w:color w:val="000000"/>
                <w14:textOutline w14:w="0" w14:cap="flat" w14:cmpd="sng" w14:algn="ctr">
                  <w14:noFill/>
                  <w14:prstDash w14:val="solid"/>
                  <w14:bevel/>
                </w14:textOutline>
              </w:rPr>
              <w:br/>
            </w:r>
            <w:r w:rsidRPr="008F5605">
              <w:rPr>
                <w:rFonts w:eastAsia="Times Roman"/>
                <w:color w:val="000000"/>
                <w14:textOutline w14:w="0" w14:cap="flat" w14:cmpd="sng" w14:algn="ctr">
                  <w14:noFill/>
                  <w14:prstDash w14:val="solid"/>
                  <w14:bevel/>
                </w14:textOutline>
              </w:rPr>
              <w:br/>
              <w:t>The new API is dependent on the availability and integrity of a system outside of the influence of the business stakeholders.</w:t>
            </w:r>
          </w:p>
        </w:tc>
        <w:tc>
          <w:tcPr>
            <w:tcW w:w="1686" w:type="dxa"/>
            <w:tcBorders>
              <w:top w:val="single" w:sz="4" w:space="0" w:color="auto"/>
              <w:left w:val="single" w:sz="4" w:space="0" w:color="auto"/>
              <w:bottom w:val="single" w:sz="4" w:space="0" w:color="auto"/>
              <w:right w:val="single" w:sz="4" w:space="0" w:color="auto"/>
            </w:tcBorders>
            <w:hideMark/>
          </w:tcPr>
          <w:p w14:paraId="278608B7"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Low</w:t>
            </w:r>
          </w:p>
        </w:tc>
        <w:tc>
          <w:tcPr>
            <w:tcW w:w="1191" w:type="dxa"/>
            <w:tcBorders>
              <w:top w:val="single" w:sz="4" w:space="0" w:color="auto"/>
              <w:left w:val="single" w:sz="4" w:space="0" w:color="auto"/>
              <w:bottom w:val="single" w:sz="4" w:space="0" w:color="auto"/>
              <w:right w:val="single" w:sz="4" w:space="0" w:color="auto"/>
            </w:tcBorders>
            <w:hideMark/>
          </w:tcPr>
          <w:p w14:paraId="5C0922EE"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High</w:t>
            </w:r>
          </w:p>
        </w:tc>
        <w:tc>
          <w:tcPr>
            <w:tcW w:w="1080" w:type="dxa"/>
            <w:tcBorders>
              <w:top w:val="single" w:sz="4" w:space="0" w:color="auto"/>
              <w:left w:val="single" w:sz="4" w:space="0" w:color="auto"/>
              <w:bottom w:val="single" w:sz="4" w:space="0" w:color="auto"/>
              <w:right w:val="single" w:sz="4" w:space="0" w:color="auto"/>
            </w:tcBorders>
            <w:hideMark/>
          </w:tcPr>
          <w:p w14:paraId="658DE51E"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Medium</w:t>
            </w:r>
          </w:p>
        </w:tc>
        <w:tc>
          <w:tcPr>
            <w:tcW w:w="2155" w:type="dxa"/>
            <w:tcBorders>
              <w:top w:val="single" w:sz="4" w:space="0" w:color="auto"/>
              <w:left w:val="single" w:sz="4" w:space="0" w:color="auto"/>
              <w:bottom w:val="single" w:sz="4" w:space="0" w:color="auto"/>
              <w:right w:val="single" w:sz="4" w:space="0" w:color="auto"/>
            </w:tcBorders>
            <w:hideMark/>
          </w:tcPr>
          <w:p w14:paraId="0F9B95E1"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Establish contractual service level agreements mandating system uptime and change management controls.</w:t>
            </w:r>
          </w:p>
        </w:tc>
      </w:tr>
      <w:tr w:rsidR="008F5605" w:rsidRPr="008F5605" w14:paraId="14159CDF" w14:textId="77777777">
        <w:tc>
          <w:tcPr>
            <w:tcW w:w="939" w:type="dxa"/>
            <w:tcBorders>
              <w:top w:val="single" w:sz="4" w:space="0" w:color="auto"/>
              <w:left w:val="single" w:sz="4" w:space="0" w:color="auto"/>
              <w:bottom w:val="single" w:sz="4" w:space="0" w:color="auto"/>
              <w:right w:val="single" w:sz="4" w:space="0" w:color="auto"/>
            </w:tcBorders>
            <w:hideMark/>
          </w:tcPr>
          <w:p w14:paraId="29363D8F"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R-03</w:t>
            </w:r>
          </w:p>
        </w:tc>
        <w:tc>
          <w:tcPr>
            <w:tcW w:w="2299" w:type="dxa"/>
            <w:tcBorders>
              <w:top w:val="single" w:sz="4" w:space="0" w:color="auto"/>
              <w:left w:val="single" w:sz="4" w:space="0" w:color="auto"/>
              <w:bottom w:val="single" w:sz="4" w:space="0" w:color="auto"/>
              <w:right w:val="single" w:sz="4" w:space="0" w:color="auto"/>
            </w:tcBorders>
            <w:hideMark/>
          </w:tcPr>
          <w:p w14:paraId="20E45524"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Data Integrity Failure.</w:t>
            </w:r>
          </w:p>
          <w:p w14:paraId="72A316C6"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The new API contains faulty logic or data mapping errors, leading to inaccurate calculations.</w:t>
            </w:r>
          </w:p>
        </w:tc>
        <w:tc>
          <w:tcPr>
            <w:tcW w:w="1686" w:type="dxa"/>
            <w:tcBorders>
              <w:top w:val="single" w:sz="4" w:space="0" w:color="auto"/>
              <w:left w:val="single" w:sz="4" w:space="0" w:color="auto"/>
              <w:bottom w:val="single" w:sz="4" w:space="0" w:color="auto"/>
              <w:right w:val="single" w:sz="4" w:space="0" w:color="auto"/>
            </w:tcBorders>
            <w:hideMark/>
          </w:tcPr>
          <w:p w14:paraId="75AD9BD1"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Medium</w:t>
            </w:r>
          </w:p>
        </w:tc>
        <w:tc>
          <w:tcPr>
            <w:tcW w:w="1191" w:type="dxa"/>
            <w:tcBorders>
              <w:top w:val="single" w:sz="4" w:space="0" w:color="auto"/>
              <w:left w:val="single" w:sz="4" w:space="0" w:color="auto"/>
              <w:bottom w:val="single" w:sz="4" w:space="0" w:color="auto"/>
              <w:right w:val="single" w:sz="4" w:space="0" w:color="auto"/>
            </w:tcBorders>
            <w:hideMark/>
          </w:tcPr>
          <w:p w14:paraId="203FA4BA"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High</w:t>
            </w:r>
          </w:p>
        </w:tc>
        <w:tc>
          <w:tcPr>
            <w:tcW w:w="1080" w:type="dxa"/>
            <w:tcBorders>
              <w:top w:val="single" w:sz="4" w:space="0" w:color="auto"/>
              <w:left w:val="single" w:sz="4" w:space="0" w:color="auto"/>
              <w:bottom w:val="single" w:sz="4" w:space="0" w:color="auto"/>
              <w:right w:val="single" w:sz="4" w:space="0" w:color="auto"/>
            </w:tcBorders>
            <w:hideMark/>
          </w:tcPr>
          <w:p w14:paraId="449F3A87"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Medium</w:t>
            </w:r>
          </w:p>
        </w:tc>
        <w:tc>
          <w:tcPr>
            <w:tcW w:w="2155" w:type="dxa"/>
            <w:tcBorders>
              <w:top w:val="single" w:sz="4" w:space="0" w:color="auto"/>
              <w:left w:val="single" w:sz="4" w:space="0" w:color="auto"/>
              <w:bottom w:val="single" w:sz="4" w:space="0" w:color="auto"/>
              <w:right w:val="single" w:sz="4" w:space="0" w:color="auto"/>
            </w:tcBorders>
            <w:hideMark/>
          </w:tcPr>
          <w:p w14:paraId="2B952768" w14:textId="77777777" w:rsidR="008F5605" w:rsidRPr="008F5605" w:rsidRDefault="008F5605" w:rsidP="008F5605">
            <w:pPr>
              <w:suppressAutoHyphens/>
              <w:spacing w:after="240"/>
              <w:rPr>
                <w:rFonts w:eastAsia="Times Roman"/>
                <w:color w:val="000000"/>
                <w14:textOutline w14:w="0" w14:cap="flat" w14:cmpd="sng" w14:algn="ctr">
                  <w14:noFill/>
                  <w14:prstDash w14:val="solid"/>
                  <w14:bevel/>
                </w14:textOutline>
              </w:rPr>
            </w:pPr>
            <w:r w:rsidRPr="008F5605">
              <w:rPr>
                <w:rFonts w:eastAsia="Times Roman"/>
                <w:color w:val="000000"/>
                <w14:textOutline w14:w="0" w14:cap="flat" w14:cmpd="sng" w14:algn="ctr">
                  <w14:noFill/>
                  <w14:prstDash w14:val="solid"/>
                  <w14:bevel/>
                </w14:textOutline>
              </w:rPr>
              <w:t>Enforce the legal and compliance review and approval gate to validate calculations and data accuracy. Automate all unit and integration testing with robust development of detailed use case-driven test cases.</w:t>
            </w:r>
          </w:p>
        </w:tc>
      </w:tr>
    </w:tbl>
    <w:p w14:paraId="1C2FD38E" w14:textId="77777777" w:rsidR="008F5605" w:rsidRPr="008F5605"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p>
    <w:p w14:paraId="71D3BF6E" w14:textId="77777777" w:rsidR="008F5605" w:rsidRPr="008F5605" w:rsidRDefault="008F5605" w:rsidP="008F5605">
      <w:pPr>
        <w:spacing w:after="0" w:line="240" w:lineRule="auto"/>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kern w:val="0"/>
          <w14:ligatures w14:val="none"/>
        </w:rPr>
        <w:br w:type="page"/>
      </w:r>
    </w:p>
    <w:p w14:paraId="6363DEC9" w14:textId="77777777" w:rsidR="008F5605" w:rsidRPr="008F5605"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p>
    <w:p w14:paraId="0966C0BB" w14:textId="77777777" w:rsidR="008F5605" w:rsidRPr="008F5605" w:rsidRDefault="008F5605" w:rsidP="008F5605">
      <w:pPr>
        <w:spacing w:after="0" w:line="240" w:lineRule="auto"/>
        <w:rPr>
          <w:rFonts w:ascii="Times New Roman" w:eastAsia="Arial Unicode MS" w:hAnsi="Times New Roman" w:cs="Times New Roman"/>
          <w:smallCaps/>
          <w:color w:val="5A5A5A"/>
          <w:kern w:val="0"/>
          <w14:ligatures w14:val="none"/>
        </w:rPr>
      </w:pPr>
      <w:r w:rsidRPr="008F5605">
        <w:rPr>
          <w:rFonts w:ascii="Times New Roman" w:eastAsia="Arial Unicode MS" w:hAnsi="Times New Roman" w:cs="Times New Roman"/>
          <w:smallCaps/>
          <w:color w:val="5A5A5A"/>
          <w:kern w:val="0"/>
          <w14:ligatures w14:val="none"/>
        </w:rPr>
        <w:t>Implementation Barriers and Mitigation Strategies</w:t>
      </w:r>
    </w:p>
    <w:p w14:paraId="45FC7523" w14:textId="77777777" w:rsidR="008F5605" w:rsidRPr="008F5605" w:rsidRDefault="008F5605" w:rsidP="008F5605">
      <w:pPr>
        <w:spacing w:after="0" w:line="240" w:lineRule="auto"/>
        <w:rPr>
          <w:rFonts w:ascii="Times New Roman" w:eastAsia="Arial Unicode MS" w:hAnsi="Times New Roman" w:cs="Times New Roman"/>
          <w:kern w:val="0"/>
          <w14:ligatures w14:val="none"/>
        </w:rPr>
      </w:pPr>
    </w:p>
    <w:p w14:paraId="0126AA31" w14:textId="77777777" w:rsidR="008F5605" w:rsidRPr="008F5605" w:rsidRDefault="008F5605" w:rsidP="008F5605">
      <w:pPr>
        <w:spacing w:after="0" w:line="240" w:lineRule="auto"/>
        <w:ind w:firstLine="720"/>
        <w:rPr>
          <w:rFonts w:ascii="Times New Roman" w:eastAsia="Arial Unicode MS" w:hAnsi="Times New Roman" w:cs="Times New Roman"/>
          <w:kern w:val="0"/>
          <w14:ligatures w14:val="none"/>
        </w:rPr>
      </w:pPr>
      <w:r w:rsidRPr="008F5605">
        <w:rPr>
          <w:rFonts w:ascii="Times New Roman" w:eastAsia="Arial Unicode MS" w:hAnsi="Times New Roman" w:cs="Times New Roman"/>
          <w:kern w:val="0"/>
          <w14:ligatures w14:val="none"/>
        </w:rPr>
        <w:t>During the review and analysis of this project retrospectively, it was striking to notice the cultural barriers that exist between marketing and IT. Marketing is, by its nature, prone to rapid directional changes that can impair the ability of IT to deliver solutions. IT has been tasked with innovating more automated and intuitive solutions at the enterprise level, but rarely has the bandwidth to do so owing to the constant “swirl” of shifting priorities on the part of its business partners. It is anticipated that enforcement of the legal/compliance approval gate will establish the impetus for project completion without deviation to other new or less critical work, with the understanding that the development team will simultaneously be occupied with Run The Business (RTB) activities. Both business and IT leadership buy-in on this point is critical and may require an executive project champion to ensure that all parties to the project remain focused on it to the exclusion of other initiatives. A project manager tasked with carrying this project to completion will require substantial executive support to ensure that resource allocation constraints and the project’s objectives are honored.</w:t>
      </w:r>
    </w:p>
    <w:p w14:paraId="435BD18C" w14:textId="77777777" w:rsidR="008F5605" w:rsidRPr="008F5605" w:rsidRDefault="008F5605" w:rsidP="008F5605">
      <w:pPr>
        <w:spacing w:after="0" w:line="240" w:lineRule="auto"/>
        <w:ind w:firstLine="720"/>
        <w:rPr>
          <w:rFonts w:ascii="Times New Roman" w:eastAsia="Arial Unicode MS" w:hAnsi="Times New Roman" w:cs="Times New Roman"/>
          <w:kern w:val="0"/>
          <w14:ligatures w14:val="none"/>
        </w:rPr>
      </w:pPr>
    </w:p>
    <w:p w14:paraId="3482C718" w14:textId="77777777" w:rsidR="008F5605" w:rsidRPr="008F5605" w:rsidRDefault="008F5605" w:rsidP="008F5605">
      <w:pPr>
        <w:spacing w:after="0" w:line="240" w:lineRule="auto"/>
        <w:ind w:firstLine="720"/>
        <w:rPr>
          <w:rFonts w:ascii="Times New Roman" w:eastAsia="Arial Unicode MS" w:hAnsi="Times New Roman" w:cs="Times New Roman"/>
          <w:kern w:val="0"/>
          <w14:ligatures w14:val="none"/>
        </w:rPr>
      </w:pPr>
      <w:r w:rsidRPr="008F5605">
        <w:rPr>
          <w:rFonts w:ascii="Times New Roman" w:eastAsia="Arial Unicode MS" w:hAnsi="Times New Roman" w:cs="Times New Roman"/>
          <w:kern w:val="0"/>
          <w14:ligatures w14:val="none"/>
        </w:rPr>
        <w:t>In addition, the student administration system is a monolithic PeopleSoft implementation with an arcane table structure. IT has had access to the underlying databases for some time, but has not had access to SME resources who can assist in data mapping activities, and has engaged in inefficient guesswork in a bid to understand the data and its architecture. While this project calls on the source system’s development team to support the API development effort, the degree of SME availability is difficult to estimate because the necessary data mapping knowledge is highly siloed in a single department, which requires the use of executive authority to allocate and protect the needed resources. The project is not viewed as a strategic, enterprise-level initiative, and securing cross-organization buy-in is challenging. A project manager running this effort will also need executive support to secure the needed resources from an organization that is part of neither IT nor marketing.</w:t>
      </w:r>
    </w:p>
    <w:p w14:paraId="181CC3DB" w14:textId="77777777" w:rsidR="008F5605" w:rsidRPr="008F5605" w:rsidRDefault="008F5605" w:rsidP="008F5605">
      <w:pPr>
        <w:spacing w:after="0" w:line="240" w:lineRule="auto"/>
        <w:ind w:firstLine="720"/>
        <w:rPr>
          <w:rFonts w:ascii="Times New Roman" w:eastAsia="Arial Unicode MS" w:hAnsi="Times New Roman" w:cs="Times New Roman"/>
          <w:kern w:val="0"/>
          <w14:ligatures w14:val="none"/>
        </w:rPr>
      </w:pPr>
    </w:p>
    <w:p w14:paraId="22925DC3" w14:textId="77777777" w:rsidR="008F5605" w:rsidRPr="008F5605" w:rsidRDefault="008F5605" w:rsidP="008F5605">
      <w:pPr>
        <w:spacing w:after="0" w:line="240" w:lineRule="auto"/>
        <w:ind w:firstLine="720"/>
        <w:rPr>
          <w:rFonts w:ascii="Times New Roman" w:eastAsia="Arial Unicode MS" w:hAnsi="Times New Roman" w:cs="Times New Roman"/>
          <w:kern w:val="0"/>
          <w14:ligatures w14:val="none"/>
        </w:rPr>
      </w:pPr>
      <w:r w:rsidRPr="008F5605">
        <w:rPr>
          <w:rFonts w:ascii="Times New Roman" w:eastAsia="Arial Unicode MS" w:hAnsi="Times New Roman" w:cs="Times New Roman"/>
          <w:kern w:val="0"/>
          <w14:ligatures w14:val="none"/>
        </w:rPr>
        <w:t xml:space="preserve">The ability to ferret out potential risks and barriers to implementation requires substantial knowledge of organizational culture and priorities. In any organization, the quality of interpersonal relationships, competing priorities, and resource constraints has an enormous impact on effective collaboration and transparency. As I’ve related elsewhere, it is incumbent on a project manager to build and retain trust in order to, in turn, gain insight into how to elicit an accurate picture of the overarching landscape. The quality of the relationships established with stakeholders, interested parties and executive leadership is crucial to ensuring honest, forthright communication. Cultivation of strong cross-functional relationships is essential for the candid disclosure of technical vulnerabilities, compliance risks, and cultural obstacles. </w:t>
      </w:r>
    </w:p>
    <w:p w14:paraId="6423B3F7" w14:textId="77777777" w:rsidR="008F5605" w:rsidRPr="008F5605" w:rsidRDefault="008F5605" w:rsidP="008F5605">
      <w:pPr>
        <w:spacing w:after="0" w:line="240" w:lineRule="auto"/>
        <w:rPr>
          <w:rFonts w:ascii="Times New Roman" w:eastAsia="Arial Unicode MS" w:hAnsi="Times New Roman" w:cs="Times New Roman"/>
          <w:kern w:val="0"/>
          <w14:ligatures w14:val="none"/>
        </w:rPr>
      </w:pPr>
    </w:p>
    <w:p w14:paraId="48BBF86D" w14:textId="77777777" w:rsidR="008F5605" w:rsidRPr="008F5605" w:rsidRDefault="008F5605" w:rsidP="008F5605">
      <w:pPr>
        <w:spacing w:after="0" w:line="240" w:lineRule="auto"/>
        <w:ind w:firstLine="720"/>
        <w:rPr>
          <w:rFonts w:ascii="Times New Roman" w:eastAsia="Arial Unicode MS" w:hAnsi="Times New Roman" w:cs="Times New Roman"/>
          <w:kern w:val="0"/>
          <w14:ligatures w14:val="none"/>
        </w:rPr>
      </w:pPr>
    </w:p>
    <w:p w14:paraId="6E364470" w14:textId="77777777" w:rsidR="008F5605" w:rsidRPr="008F5605" w:rsidRDefault="008F5605" w:rsidP="008F5605">
      <w:pPr>
        <w:spacing w:after="0" w:line="240" w:lineRule="auto"/>
        <w:rPr>
          <w:rFonts w:ascii="Times New Roman" w:eastAsia="Arial Unicode MS" w:hAnsi="Times New Roman" w:cs="Times New Roman"/>
          <w:smallCaps/>
          <w:color w:val="5A5A5A"/>
          <w:kern w:val="0"/>
          <w14:ligatures w14:val="none"/>
        </w:rPr>
      </w:pPr>
      <w:r w:rsidRPr="008F5605">
        <w:rPr>
          <w:rFonts w:ascii="Times New Roman" w:eastAsia="Arial Unicode MS" w:hAnsi="Times New Roman" w:cs="Times New Roman"/>
          <w:smallCaps/>
          <w:color w:val="5A5A5A"/>
          <w:kern w:val="0"/>
          <w14:ligatures w14:val="none"/>
        </w:rPr>
        <w:t>Leveraging Borrowed Credibility</w:t>
      </w:r>
    </w:p>
    <w:p w14:paraId="32EC6A89" w14:textId="77777777" w:rsidR="008F5605" w:rsidRPr="008F5605" w:rsidRDefault="008F5605" w:rsidP="008F5605">
      <w:pPr>
        <w:spacing w:after="0" w:line="240" w:lineRule="auto"/>
        <w:rPr>
          <w:rFonts w:ascii="Times New Roman" w:eastAsia="Arial Unicode MS" w:hAnsi="Times New Roman" w:cs="Times New Roman"/>
          <w:kern w:val="0"/>
          <w14:ligatures w14:val="none"/>
        </w:rPr>
      </w:pPr>
    </w:p>
    <w:p w14:paraId="32BFC856" w14:textId="77777777" w:rsidR="008F5605" w:rsidRPr="008F5605" w:rsidRDefault="008F5605" w:rsidP="008F5605">
      <w:pPr>
        <w:spacing w:after="0" w:line="240" w:lineRule="auto"/>
        <w:ind w:firstLine="720"/>
        <w:rPr>
          <w:rFonts w:ascii="Times New Roman" w:eastAsia="Arial Unicode MS" w:hAnsi="Times New Roman" w:cs="Times New Roman"/>
          <w:kern w:val="0"/>
          <w14:ligatures w14:val="none"/>
        </w:rPr>
      </w:pPr>
      <w:r w:rsidRPr="008F5605">
        <w:rPr>
          <w:rFonts w:ascii="Times New Roman" w:eastAsia="Arial Unicode MS" w:hAnsi="Times New Roman" w:cs="Times New Roman"/>
          <w:kern w:val="0"/>
          <w14:ligatures w14:val="none"/>
        </w:rPr>
        <w:t xml:space="preserve">A foundational element during my development as a business analyst and project manager was established on day one. I was afforded the opportunity to work with a number of very experienced mentors who were able to lend their credibility to my efforts. Lacking existing relationships required that I “borrow” credibility so that I could go on to earn it on my own over </w:t>
      </w:r>
      <w:r w:rsidRPr="008F5605">
        <w:rPr>
          <w:rFonts w:ascii="Times New Roman" w:eastAsia="Arial Unicode MS" w:hAnsi="Times New Roman" w:cs="Times New Roman"/>
          <w:kern w:val="0"/>
          <w14:ligatures w14:val="none"/>
        </w:rPr>
        <w:lastRenderedPageBreak/>
        <w:t>time. The challenge in the beginning is not lack of skill or ability, but a lack of history. Stakeholders may be hesitant to share critical information with someone they do not have a professional relationship with. Ultimately, the human landscape of any organization is the network of influence and resistance that determines a project’s success. By leveraging the credibility of experienced resources, someone new to performing the functions of managing or participating in a project accelerates their own development in the role.</w:t>
      </w:r>
    </w:p>
    <w:p w14:paraId="0275586C" w14:textId="77777777" w:rsidR="008F5605" w:rsidRPr="008F5605" w:rsidRDefault="008F5605" w:rsidP="008F5605">
      <w:pPr>
        <w:spacing w:after="0" w:line="240" w:lineRule="auto"/>
        <w:rPr>
          <w:rFonts w:ascii="Times New Roman" w:eastAsia="Arial Unicode MS" w:hAnsi="Times New Roman" w:cs="Times New Roman"/>
          <w:kern w:val="0"/>
          <w14:ligatures w14:val="none"/>
        </w:rPr>
      </w:pPr>
      <w:r w:rsidRPr="008F5605">
        <w:rPr>
          <w:rFonts w:ascii="Times New Roman" w:eastAsia="Arial Unicode MS" w:hAnsi="Times New Roman" w:cs="Times New Roman"/>
          <w:kern w:val="0"/>
          <w14:ligatures w14:val="none"/>
        </w:rPr>
        <w:br w:type="page"/>
      </w:r>
    </w:p>
    <w:p w14:paraId="6ACDDE28" w14:textId="77777777" w:rsidR="008F5605" w:rsidRPr="008F5605" w:rsidRDefault="008F5605" w:rsidP="008F5605">
      <w:pPr>
        <w:spacing w:after="0" w:line="240" w:lineRule="auto"/>
        <w:ind w:firstLine="720"/>
        <w:rPr>
          <w:rFonts w:ascii="Times New Roman" w:eastAsia="Arial Unicode MS" w:hAnsi="Times New Roman" w:cs="Times New Roman"/>
          <w:kern w:val="0"/>
          <w14:ligatures w14:val="none"/>
        </w:rPr>
      </w:pPr>
    </w:p>
    <w:p w14:paraId="76D083D7" w14:textId="77777777" w:rsidR="008F5605" w:rsidRPr="008F5605" w:rsidRDefault="008F5605" w:rsidP="008F5605">
      <w:pPr>
        <w:spacing w:after="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p>
    <w:p w14:paraId="385EC1D2" w14:textId="77777777" w:rsidR="008F5605" w:rsidRPr="008F5605" w:rsidRDefault="008F5605" w:rsidP="008F5605">
      <w:pPr>
        <w:suppressAutoHyphens/>
        <w:spacing w:after="281" w:line="240" w:lineRule="auto"/>
        <w:rPr>
          <w:rFonts w:ascii="Helvetica Neue" w:eastAsia="Arial Unicode MS" w:hAnsi="Helvetica Neue" w:cs="Arial Unicode MS"/>
          <w:smallCaps/>
          <w:color w:val="5A5A5A"/>
          <w:kern w:val="0"/>
          <w:sz w:val="32"/>
          <w:szCs w:val="32"/>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sz w:val="32"/>
          <w:szCs w:val="32"/>
          <w14:textOutline w14:w="0" w14:cap="flat" w14:cmpd="sng" w14:algn="ctr">
            <w14:noFill/>
            <w14:prstDash w14:val="solid"/>
            <w14:bevel/>
          </w14:textOutline>
          <w14:ligatures w14:val="none"/>
        </w:rPr>
        <w:t>Legal, Ethical, and Policy Analysis</w:t>
      </w:r>
    </w:p>
    <w:p w14:paraId="263E72BA" w14:textId="77777777" w:rsidR="008F5605" w:rsidRPr="008F5605" w:rsidRDefault="008F5605" w:rsidP="008F5605">
      <w:pPr>
        <w:suppressAutoHyphens/>
        <w:spacing w:after="319"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t>Legal Issues and Resolution</w:t>
      </w:r>
    </w:p>
    <w:p w14:paraId="44C41074" w14:textId="77777777" w:rsidR="008F5605" w:rsidRPr="008F5605"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The primary legal issue is the mandated compliance with the Higher Education Act (HEA), 20 U.S.C. § 1094, which requires accurate financial disclosures, along with the mitigation of litigation risk (Higher Education Act of 1965, 20 USC § 1094 et seq.). Although Arborwood hosts the HEA-mandated Net Price Calculator on its commercial marketing website, the mandated calculator fails to provide the granularity and use-case specificity that prospective students seek. Failure to maintain data accuracy and to perform highly accurate, highly granular calculations exposes the institution to regulatory scrutiny and the potential for litigation, resulting in significant financial penalties. Thus, the mitigation strategy is the legal and compliance gateway, which operationalizes legal compliance by requiring the legal team to certify the calculation methodology and required disclaimers </w:t>
      </w:r>
      <w:r w:rsidRPr="008F5605">
        <w:rPr>
          <w:rFonts w:ascii="Times New Roman" w:eastAsia="Arial Unicode MS" w:hAnsi="Times New Roman" w:cs="Times New Roman"/>
          <w:i/>
          <w:iCs/>
          <w:color w:val="000000"/>
          <w:kern w:val="0"/>
          <w14:textOutline w14:w="0" w14:cap="flat" w14:cmpd="sng" w14:algn="ctr">
            <w14:noFill/>
            <w14:prstDash w14:val="solid"/>
            <w14:bevel/>
          </w14:textOutline>
          <w14:ligatures w14:val="none"/>
        </w:rPr>
        <w:t>before</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the code is written, effectively embedding legal approval into the project lifecycle.</w:t>
      </w:r>
    </w:p>
    <w:p w14:paraId="30B80589" w14:textId="77777777" w:rsidR="008F5605" w:rsidRPr="008F5605" w:rsidRDefault="008F5605" w:rsidP="008F5605">
      <w:pPr>
        <w:suppressAutoHyphens/>
        <w:spacing w:after="240" w:line="240" w:lineRule="auto"/>
        <w:ind w:firstLine="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Additionally, the existing manual data management process via authoring in the content management system is not only labor-intensive, but risks data accuracy. However, the development of the API integration creates a new data conduit for sensitive organizational financial data, creating the potential for data leakage or unauthorized access. While the University has stringent data security policies in place due to its management of personally-identifiable information, due diligence is required to ensure that the API integration is in strict adherence with data management best practices and policies. This practice is established within IT’s operations and is not viewed as a risk, but it does pose the possibility of legal liability or reputational harm in the event of a data breach.</w:t>
      </w:r>
    </w:p>
    <w:p w14:paraId="1EB938FB" w14:textId="77777777" w:rsidR="008F5605" w:rsidRPr="008F5605" w:rsidRDefault="008F5605" w:rsidP="008F5605">
      <w:pPr>
        <w:suppressAutoHyphens/>
        <w:spacing w:after="319"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t>Ethical Issues and Resolution</w:t>
      </w:r>
    </w:p>
    <w:p w14:paraId="42CBB15A" w14:textId="77777777" w:rsidR="008F5605" w:rsidRPr="008F5605"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The project is rooted in an ethical imperative of equity and transparency. Academic research clearly indicates that the current lack of precise financial information disproportionately hinders the enrollment of minority and low-income students (Weinstein, 2021). The solution, driven by the need for maximum transparency and personalization</w:t>
      </w:r>
      <w:r w:rsidRPr="008F5605">
        <w:rPr>
          <w:rFonts w:ascii="Times New Roman" w:eastAsia="Arial Unicode MS" w:hAnsi="Times New Roman" w:cs="Times New Roman"/>
          <w:color w:val="000000"/>
          <w:kern w:val="0"/>
          <w:lang w:val="nl-NL"/>
          <w14:textOutline w14:w="0" w14:cap="flat" w14:cmpd="sng" w14:algn="ctr">
            <w14:noFill/>
            <w14:prstDash w14:val="solid"/>
            <w14:bevel/>
          </w14:textOutline>
          <w14:ligatures w14:val="none"/>
        </w:rPr>
        <w:t>, addresses this ethical issue directly. The calculator acts as a tool for social equity, empowering at-risk populations with the precise information needed to make informed educational decisions. This alignment is central to Arborwood</w:t>
      </w:r>
      <w:r w:rsidRPr="008F5605">
        <w:rPr>
          <w:rFonts w:ascii="Times New Roman" w:eastAsia="Arial Unicode MS" w:hAnsi="Times New Roman" w:cs="Times New Roman"/>
          <w:color w:val="000000"/>
          <w:kern w:val="0"/>
          <w:rtl/>
          <w14:textOutline w14:w="0" w14:cap="flat" w14:cmpd="sng" w14:algn="ctr">
            <w14:noFill/>
            <w14:prstDash w14:val="solid"/>
            <w14:bevel/>
          </w14:textOutline>
          <w14:ligatures w14:val="none"/>
        </w:rPr>
        <w:t>’</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s mission to foster economic mobility through programs that offer career advancement and employment stability.</w:t>
      </w:r>
    </w:p>
    <w:p w14:paraId="1B5F9E11" w14:textId="77777777" w:rsidR="008F5605" w:rsidRPr="008F5605" w:rsidRDefault="008F5605" w:rsidP="008F5605">
      <w:pPr>
        <w:suppressAutoHyphens/>
        <w:spacing w:after="240" w:line="240" w:lineRule="auto"/>
        <w:ind w:firstLine="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Internally, the ethics of the project are rooted in perception: trust and transparency within the project team are a core driver of success. The prospect exists for the legal and compliance review and approval process to be viewed as an obstacle or barrier rather than a mitigation imperative, when it is, in reality, a protective process that defends both the project deliverables and the organization’s reputation. This friction should be viewed through an ethical lens and articulated as an ethical challenge that is being met by the process. The project manager must </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lastRenderedPageBreak/>
        <w:t xml:space="preserve">cultivate transparent team dynamics that foster the understanding that </w:t>
      </w:r>
      <w:r w:rsidRPr="008F5605">
        <w:rPr>
          <w:rFonts w:ascii="Times New Roman" w:eastAsia="Arial Unicode MS" w:hAnsi="Times New Roman" w:cs="Times New Roman"/>
          <w:i/>
          <w:iCs/>
          <w:color w:val="000000"/>
          <w:kern w:val="0"/>
          <w14:textOutline w14:w="0" w14:cap="flat" w14:cmpd="sng" w14:algn="ctr">
            <w14:noFill/>
            <w14:prstDash w14:val="solid"/>
            <w14:bevel/>
          </w14:textOutline>
          <w14:ligatures w14:val="none"/>
        </w:rPr>
        <w:t>not</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evaluating the solution from a compliance perspective would be unethical.</w:t>
      </w:r>
    </w:p>
    <w:p w14:paraId="3E3FB9E2" w14:textId="77777777" w:rsidR="008F5605" w:rsidRPr="008F5605" w:rsidRDefault="008F5605" w:rsidP="008F5605">
      <w:pPr>
        <w:suppressAutoHyphens/>
        <w:spacing w:after="319" w:line="240" w:lineRule="auto"/>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t>Policy Issues and Potential Conflict</w:t>
      </w:r>
    </w:p>
    <w:p w14:paraId="2DCAE66C" w14:textId="77777777" w:rsidR="008F5605" w:rsidRPr="008F5605" w:rsidRDefault="008F5605" w:rsidP="008F5605">
      <w:pPr>
        <w:suppressAutoHyphens/>
        <w:spacing w:after="240" w:line="240" w:lineRule="auto"/>
        <w:ind w:firstLine="720"/>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The most significant policy challenge is the potential conflict between the existing manual data maintenance policy and the new automated data flow via the API. The manual policy creates regulatory risk, and the automated solution renders the policy obsolete.  The existing Data Governance Policy does not address data integrity on the commercial website when it is manually managed outside of standard web authoring governance. The API integration bypasses the authoring governance process, pulling data from the source system without human intervention. The project must create updates to the University’s existing Data Governance Policy that formally designates the administrative system as the SSOT for tuition and other cost data and establishes clear ownership and validation processes for the new API endpoints. This proactive measure prevents a policy vacuum that could otherwise allow data errors that have the potential to undermine the project's compliance goals.</w:t>
      </w:r>
    </w:p>
    <w:p w14:paraId="5BF69679" w14:textId="77777777" w:rsidR="008F5605" w:rsidRPr="008F5605" w:rsidRDefault="008F5605" w:rsidP="008F5605">
      <w:pPr>
        <w:spacing w:after="0" w:line="240" w:lineRule="auto"/>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kern w:val="0"/>
          <w14:ligatures w14:val="none"/>
        </w:rPr>
        <w:br w:type="page"/>
      </w:r>
    </w:p>
    <w:p w14:paraId="1DF7869C" w14:textId="77777777" w:rsidR="008F5605" w:rsidRPr="008F5605" w:rsidRDefault="008F5605" w:rsidP="008F5605">
      <w:pPr>
        <w:suppressAutoHyphens/>
        <w:spacing w:after="240" w:line="240" w:lineRule="auto"/>
        <w:ind w:firstLine="720"/>
        <w:jc w:val="center"/>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pPr>
      <w:r w:rsidRPr="008F5605">
        <w:rPr>
          <w:rFonts w:ascii="Helvetica Neue" w:eastAsia="Arial Unicode MS" w:hAnsi="Helvetica Neue" w:cs="Arial Unicode MS"/>
          <w:smallCaps/>
          <w:color w:val="5A5A5A"/>
          <w:kern w:val="0"/>
          <w14:textOutline w14:w="0" w14:cap="flat" w14:cmpd="sng" w14:algn="ctr">
            <w14:noFill/>
            <w14:prstDash w14:val="solid"/>
            <w14:bevel/>
          </w14:textOutline>
          <w14:ligatures w14:val="none"/>
        </w:rPr>
        <w:lastRenderedPageBreak/>
        <w:t>References</w:t>
      </w:r>
    </w:p>
    <w:p w14:paraId="3BF3E2AB" w14:textId="77777777" w:rsidR="008F5605" w:rsidRPr="008F5605" w:rsidRDefault="008F5605" w:rsidP="008F5605">
      <w:pPr>
        <w:suppressAutoHyphens/>
        <w:spacing w:after="240" w:line="240" w:lineRule="auto"/>
        <w:rPr>
          <w:rFonts w:ascii="Times New Roman" w:eastAsia="Times Roman" w:hAnsi="Times New Roman" w:cs="Times New Roman"/>
          <w:color w:val="000000"/>
          <w:kern w:val="0"/>
          <w14:textOutline w14:w="0" w14:cap="flat" w14:cmpd="sng" w14:algn="ctr">
            <w14:noFill/>
            <w14:prstDash w14:val="solid"/>
            <w14:bevel/>
          </w14:textOutline>
          <w14:ligatures w14:val="none"/>
        </w:rPr>
      </w:pPr>
    </w:p>
    <w:p w14:paraId="164B855A" w14:textId="77777777" w:rsidR="008F5605" w:rsidRPr="008F5605" w:rsidRDefault="008F5605" w:rsidP="008F5605">
      <w:pPr>
        <w:suppressAutoHyphens/>
        <w:spacing w:after="240" w:line="240" w:lineRule="auto"/>
        <w:rPr>
          <w:rFonts w:ascii="Times New Roman" w:eastAsia="Arial Unicode MS"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Higher Education Act of 1965, 20 U.S.C. § 1094 et seq. (2020). Retrieved from</w:t>
      </w:r>
    </w:p>
    <w:p w14:paraId="6A478F41" w14:textId="77777777" w:rsidR="008F5605" w:rsidRPr="008F5605" w:rsidRDefault="008F5605" w:rsidP="008F5605">
      <w:pPr>
        <w:suppressAutoHyphens/>
        <w:spacing w:after="240" w:line="240" w:lineRule="auto"/>
        <w:ind w:firstLine="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https://www.law.cornell.edu/uscode/text/20/1094</w:t>
      </w:r>
    </w:p>
    <w:p w14:paraId="564FAE58" w14:textId="77777777" w:rsidR="008F5605" w:rsidRPr="008F5605" w:rsidRDefault="008F5605" w:rsidP="008F5605">
      <w:pPr>
        <w:suppressAutoHyphens/>
        <w:spacing w:after="240" w:line="240" w:lineRule="auto"/>
        <w:rPr>
          <w:rFonts w:ascii="Times New Roman" w:eastAsia="Times Roman" w:hAnsi="Times New Roman" w:cs="Times New Roman"/>
          <w:color w:val="000000"/>
          <w:kern w:val="0"/>
          <w14:textOutline w14:w="0" w14:cap="flat" w14:cmpd="sng" w14:algn="ctr">
            <w14:noFill/>
            <w14:prstDash w14:val="solid"/>
            <w14:bevel/>
          </w14:textOutline>
          <w14:ligatures w14:val="none"/>
        </w:rPr>
      </w:pPr>
    </w:p>
    <w:p w14:paraId="49E037DD" w14:textId="77777777" w:rsidR="008F5605" w:rsidRPr="008F5605" w:rsidRDefault="008F5605" w:rsidP="008F5605">
      <w:pPr>
        <w:suppressAutoHyphens/>
        <w:spacing w:after="240" w:line="240" w:lineRule="auto"/>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Times Roman" w:hAnsi="Times New Roman" w:cs="Times New Roman"/>
          <w:color w:val="000000"/>
          <w:kern w:val="0"/>
          <w14:textOutline w14:w="0" w14:cap="flat" w14:cmpd="sng" w14:algn="ctr">
            <w14:noFill/>
            <w14:prstDash w14:val="solid"/>
            <w14:bevel/>
          </w14:textOutline>
          <w14:ligatures w14:val="none"/>
        </w:rPr>
        <w:t>Irawan, R. (2025). The Influence of Digital Content Personalization on Customer Engagement in</w:t>
      </w:r>
    </w:p>
    <w:p w14:paraId="39CC0795" w14:textId="77777777" w:rsidR="008F5605" w:rsidRPr="008F5605" w:rsidRDefault="008F5605" w:rsidP="008F5605">
      <w:pPr>
        <w:suppressAutoHyphens/>
        <w:spacing w:after="240" w:line="240" w:lineRule="auto"/>
        <w:ind w:left="720"/>
        <w:rPr>
          <w:rFonts w:ascii="Times New Roman" w:eastAsia="Times Roman" w:hAnsi="Times New Roman" w:cs="Times New Roman"/>
          <w:i/>
          <w:iCs/>
          <w:color w:val="000000"/>
          <w:kern w:val="0"/>
          <w14:textOutline w14:w="0" w14:cap="flat" w14:cmpd="sng" w14:algn="ctr">
            <w14:noFill/>
            <w14:prstDash w14:val="solid"/>
            <w14:bevel/>
          </w14:textOutline>
          <w14:ligatures w14:val="none"/>
        </w:rPr>
      </w:pPr>
      <w:r w:rsidRPr="008F5605">
        <w:rPr>
          <w:rFonts w:ascii="Times New Roman" w:eastAsia="Times Roman" w:hAnsi="Times New Roman" w:cs="Times New Roman"/>
          <w:color w:val="000000"/>
          <w:kern w:val="0"/>
          <w14:textOutline w14:w="0" w14:cap="flat" w14:cmpd="sng" w14:algn="ctr">
            <w14:noFill/>
            <w14:prstDash w14:val="solid"/>
            <w14:bevel/>
          </w14:textOutline>
          <w14:ligatures w14:val="none"/>
        </w:rPr>
        <w:t xml:space="preserve">E-Commerce Platforms. </w:t>
      </w:r>
      <w:r w:rsidRPr="008F5605">
        <w:rPr>
          <w:rFonts w:ascii="Times New Roman" w:eastAsia="Times Roman" w:hAnsi="Times New Roman" w:cs="Times New Roman"/>
          <w:i/>
          <w:iCs/>
          <w:color w:val="000000"/>
          <w:kern w:val="0"/>
          <w14:textOutline w14:w="0" w14:cap="flat" w14:cmpd="sng" w14:algn="ctr">
            <w14:noFill/>
            <w14:prstDash w14:val="solid"/>
            <w14:bevel/>
          </w14:textOutline>
          <w14:ligatures w14:val="none"/>
        </w:rPr>
        <w:t>International Journal of World Economics, 1</w:t>
      </w:r>
      <w:r w:rsidRPr="008F5605">
        <w:rPr>
          <w:rFonts w:ascii="Times New Roman" w:eastAsia="Times Roman" w:hAnsi="Times New Roman" w:cs="Times New Roman"/>
          <w:color w:val="000000"/>
          <w:kern w:val="0"/>
          <w14:textOutline w14:w="0" w14:cap="flat" w14:cmpd="sng" w14:algn="ctr">
            <w14:noFill/>
            <w14:prstDash w14:val="solid"/>
            <w14:bevel/>
          </w14:textOutline>
          <w14:ligatures w14:val="none"/>
        </w:rPr>
        <w:t xml:space="preserve">(3), 118-127. </w:t>
      </w:r>
      <w:hyperlink r:id="rId5" w:history="1">
        <w:r w:rsidRPr="008F5605">
          <w:rPr>
            <w:rFonts w:ascii="Times New Roman" w:eastAsia="Times Roman" w:hAnsi="Times New Roman" w:cs="Times New Roman"/>
            <w:color w:val="000000"/>
            <w:kern w:val="0"/>
            <w:u w:val="single"/>
            <w14:textOutline w14:w="0" w14:cap="flat" w14:cmpd="sng" w14:algn="ctr">
              <w14:noFill/>
              <w14:prstDash w14:val="solid"/>
              <w14:bevel/>
            </w14:textOutline>
            <w14:ligatures w14:val="none"/>
          </w:rPr>
          <w:t>https://doi.org/10.71364/ijwe.v1i3.17</w:t>
        </w:r>
      </w:hyperlink>
    </w:p>
    <w:p w14:paraId="634BA0FD" w14:textId="77777777" w:rsidR="008F5605" w:rsidRPr="008F5605" w:rsidRDefault="008F5605" w:rsidP="008F5605">
      <w:pPr>
        <w:suppressAutoHyphens/>
        <w:spacing w:after="240" w:line="240" w:lineRule="auto"/>
        <w:rPr>
          <w:rFonts w:ascii="Times New Roman" w:eastAsia="Times Roman" w:hAnsi="Times New Roman" w:cs="Times New Roman"/>
          <w:color w:val="000000"/>
          <w:kern w:val="0"/>
          <w14:textOutline w14:w="0" w14:cap="flat" w14:cmpd="sng" w14:algn="ctr">
            <w14:noFill/>
            <w14:prstDash w14:val="solid"/>
            <w14:bevel/>
          </w14:textOutline>
          <w14:ligatures w14:val="none"/>
        </w:rPr>
      </w:pPr>
    </w:p>
    <w:p w14:paraId="676BFD26" w14:textId="77777777" w:rsidR="008F5605" w:rsidRPr="008F5605" w:rsidRDefault="008F5605" w:rsidP="008F5605">
      <w:pPr>
        <w:suppressAutoHyphens/>
        <w:spacing w:after="240" w:line="240" w:lineRule="auto"/>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Times Roman" w:hAnsi="Times New Roman" w:cs="Times New Roman"/>
          <w:color w:val="000000"/>
          <w:kern w:val="0"/>
          <w14:textOutline w14:w="0" w14:cap="flat" w14:cmpd="sng" w14:algn="ctr">
            <w14:noFill/>
            <w14:prstDash w14:val="solid"/>
            <w14:bevel/>
          </w14:textOutline>
          <w14:ligatures w14:val="none"/>
        </w:rPr>
        <w:t>Pang, C., Szafron, D. (2014). Single Source of Truth (SSOT) for Service Oriented Architecture</w:t>
      </w:r>
    </w:p>
    <w:p w14:paraId="34DB8295" w14:textId="77777777" w:rsidR="008F5605" w:rsidRPr="008F5605" w:rsidRDefault="008F5605" w:rsidP="008F5605">
      <w:pPr>
        <w:suppressAutoHyphens/>
        <w:spacing w:after="240" w:line="240" w:lineRule="auto"/>
        <w:ind w:left="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Times Roman" w:hAnsi="Times New Roman" w:cs="Times New Roman"/>
          <w:color w:val="000000"/>
          <w:kern w:val="0"/>
          <w14:textOutline w14:w="0" w14:cap="flat" w14:cmpd="sng" w14:algn="ctr">
            <w14:noFill/>
            <w14:prstDash w14:val="solid"/>
            <w14:bevel/>
          </w14:textOutline>
          <w14:ligatures w14:val="none"/>
        </w:rPr>
        <w:t xml:space="preserve">(SOA). In X. Franch,  A.K. Ghose, G.A. Lewis, S. Bhiri (Eds.), </w:t>
      </w:r>
      <w:r w:rsidRPr="008F5605">
        <w:rPr>
          <w:rFonts w:ascii="Times New Roman" w:eastAsia="Times Roman" w:hAnsi="Times New Roman" w:cs="Times New Roman"/>
          <w:i/>
          <w:iCs/>
          <w:color w:val="000000"/>
          <w:kern w:val="0"/>
          <w14:textOutline w14:w="0" w14:cap="flat" w14:cmpd="sng" w14:algn="ctr">
            <w14:noFill/>
            <w14:prstDash w14:val="solid"/>
            <w14:bevel/>
          </w14:textOutline>
          <w14:ligatures w14:val="none"/>
        </w:rPr>
        <w:t xml:space="preserve">Service Oriented Computing. ICSOC 2014 </w:t>
      </w:r>
      <w:r w:rsidRPr="008F5605">
        <w:rPr>
          <w:rFonts w:ascii="Times New Roman" w:eastAsia="Times Roman" w:hAnsi="Times New Roman" w:cs="Times New Roman"/>
          <w:color w:val="000000"/>
          <w:kern w:val="0"/>
          <w14:textOutline w14:w="0" w14:cap="flat" w14:cmpd="sng" w14:algn="ctr">
            <w14:noFill/>
            <w14:prstDash w14:val="solid"/>
            <w14:bevel/>
          </w14:textOutline>
          <w14:ligatures w14:val="none"/>
        </w:rPr>
        <w:t xml:space="preserve">(Vol. 8831). Springer. </w:t>
      </w:r>
      <w:hyperlink r:id="rId6" w:history="1">
        <w:r w:rsidRPr="008F5605">
          <w:rPr>
            <w:rFonts w:ascii="Times New Roman" w:eastAsia="Times Roman" w:hAnsi="Times New Roman" w:cs="Times New Roman"/>
            <w:color w:val="000000"/>
            <w:kern w:val="0"/>
            <w:u w:val="single"/>
            <w14:textOutline w14:w="0" w14:cap="flat" w14:cmpd="sng" w14:algn="ctr">
              <w14:noFill/>
              <w14:prstDash w14:val="solid"/>
              <w14:bevel/>
            </w14:textOutline>
            <w14:ligatures w14:val="none"/>
          </w:rPr>
          <w:t>https://doi.org/10.1007/978-3-662-45391-9_50</w:t>
        </w:r>
      </w:hyperlink>
    </w:p>
    <w:p w14:paraId="642D578F" w14:textId="77777777" w:rsidR="008F5605" w:rsidRPr="008F5605" w:rsidRDefault="008F5605" w:rsidP="008F5605">
      <w:pPr>
        <w:suppressAutoHyphens/>
        <w:spacing w:after="299" w:line="240" w:lineRule="auto"/>
        <w:rPr>
          <w:rFonts w:ascii="Times New Roman" w:eastAsia="Times Roman" w:hAnsi="Times New Roman" w:cs="Times New Roman"/>
          <w:color w:val="000000"/>
          <w:kern w:val="0"/>
          <w14:textOutline w14:w="0" w14:cap="flat" w14:cmpd="sng" w14:algn="ctr">
            <w14:noFill/>
            <w14:prstDash w14:val="solid"/>
            <w14:bevel/>
          </w14:textOutline>
          <w14:ligatures w14:val="none"/>
        </w:rPr>
      </w:pPr>
    </w:p>
    <w:p w14:paraId="3A84E317" w14:textId="77777777" w:rsidR="008F5605" w:rsidRPr="008F5605" w:rsidRDefault="008F5605" w:rsidP="008F5605">
      <w:pPr>
        <w:suppressAutoHyphens/>
        <w:spacing w:after="240" w:line="240" w:lineRule="auto"/>
        <w:rPr>
          <w:rFonts w:ascii="Helvetica Neue" w:eastAsia="Arial Unicode MS" w:hAnsi="Helvetica Neue" w:cs="Arial Unicode MS"/>
          <w:i/>
          <w:iCs/>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Vossen, J., &amp; Meijer, M. (2014). </w:t>
      </w:r>
      <w:r w:rsidRPr="008F5605">
        <w:rPr>
          <w:rFonts w:ascii="Times New Roman" w:eastAsia="Arial Unicode MS" w:hAnsi="Times New Roman" w:cs="Times New Roman"/>
          <w:i/>
          <w:iCs/>
          <w:color w:val="000000"/>
          <w:kern w:val="0"/>
          <w14:textOutline w14:w="0" w14:cap="flat" w14:cmpd="sng" w14:algn="ctr">
            <w14:noFill/>
            <w14:prstDash w14:val="solid"/>
            <w14:bevel/>
          </w14:textOutline>
          <w14:ligatures w14:val="none"/>
        </w:rPr>
        <w:t>IT governance and enterprise architecture: A new approach for</w:t>
      </w:r>
    </w:p>
    <w:p w14:paraId="1708B08A" w14:textId="77777777" w:rsidR="008F5605" w:rsidRPr="008F5605" w:rsidRDefault="008F5605" w:rsidP="008F5605">
      <w:pPr>
        <w:suppressAutoHyphens/>
        <w:spacing w:after="240" w:line="240" w:lineRule="auto"/>
        <w:ind w:left="720"/>
        <w:rPr>
          <w:rFonts w:ascii="Helvetica Neue" w:eastAsia="Arial Unicode MS" w:hAnsi="Helvetica Neue" w:cs="Arial Unicode MS"/>
          <w:color w:val="000000"/>
          <w:kern w:val="0"/>
          <w14:textOutline w14:w="0" w14:cap="flat" w14:cmpd="sng" w14:algn="ctr">
            <w14:noFill/>
            <w14:prstDash w14:val="solid"/>
            <w14:bevel/>
          </w14:textOutline>
          <w14:ligatures w14:val="none"/>
        </w:rPr>
      </w:pPr>
      <w:r w:rsidRPr="008F5605">
        <w:rPr>
          <w:rFonts w:ascii="Times New Roman" w:eastAsia="Arial Unicode MS" w:hAnsi="Times New Roman" w:cs="Times New Roman"/>
          <w:i/>
          <w:iCs/>
          <w:color w:val="000000"/>
          <w:kern w:val="0"/>
          <w14:textOutline w14:w="0" w14:cap="flat" w14:cmpd="sng" w14:algn="ctr">
            <w14:noFill/>
            <w14:prstDash w14:val="solid"/>
            <w14:bevel/>
          </w14:textOutline>
          <w14:ligatures w14:val="none"/>
        </w:rPr>
        <w:t>application integration and data access in higher education.</w:t>
      </w:r>
      <w:r w:rsidRPr="008F5605">
        <w:rPr>
          <w:rFonts w:ascii="Times New Roman" w:eastAsia="Arial Unicode MS" w:hAnsi="Times New Roman" w:cs="Times New Roman"/>
          <w:color w:val="000000"/>
          <w:kern w:val="0"/>
          <w14:textOutline w14:w="0" w14:cap="flat" w14:cmpd="sng" w14:algn="ctr">
            <w14:noFill/>
            <w14:prstDash w14:val="solid"/>
            <w14:bevel/>
          </w14:textOutline>
          <w14:ligatures w14:val="none"/>
        </w:rPr>
        <w:t xml:space="preserve"> Proceedings of the 20th Annual Conference of the European University Information Systems Organisation (EUNIS 2014). Retrieved from </w:t>
      </w:r>
      <w:hyperlink r:id="rId7" w:history="1">
        <w:r w:rsidRPr="008F5605">
          <w:rPr>
            <w:rFonts w:ascii="Times New Roman" w:eastAsia="Arial Unicode MS" w:hAnsi="Times New Roman" w:cs="Times New Roman"/>
            <w:color w:val="000000"/>
            <w:kern w:val="0"/>
            <w:u w:val="single"/>
            <w14:textOutline w14:w="0" w14:cap="flat" w14:cmpd="sng" w14:algn="ctr">
              <w14:noFill/>
              <w14:prstDash w14:val="solid"/>
              <w14:bevel/>
            </w14:textOutline>
            <w14:ligatures w14:val="none"/>
          </w:rPr>
          <w:t>https://eunis.org/download/2014/papers/eunis2014_</w:t>
        </w:r>
        <w:r w:rsidRPr="008F5605">
          <w:rPr>
            <w:rFonts w:ascii="Times New Roman" w:eastAsia="Arial Unicode MS" w:hAnsi="Times New Roman" w:cs="Times New Roman"/>
            <w:color w:val="000000"/>
            <w:kern w:val="0"/>
            <w:u w:val="single"/>
            <w14:textOutline w14:w="0" w14:cap="flat" w14:cmpd="sng" w14:algn="ctr">
              <w14:noFill/>
              <w14:prstDash w14:val="solid"/>
              <w14:bevel/>
            </w14:textOutline>
            <w14:ligatures w14:val="none"/>
          </w:rPr>
          <w:br/>
          <w:t>submission_71.pdf</w:t>
        </w:r>
      </w:hyperlink>
    </w:p>
    <w:p w14:paraId="4369670A" w14:textId="77777777" w:rsidR="008F5605" w:rsidRPr="008F5605" w:rsidRDefault="008F5605" w:rsidP="008F5605">
      <w:pPr>
        <w:suppressAutoHyphens/>
        <w:spacing w:after="240" w:line="240" w:lineRule="auto"/>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Times Roman" w:hAnsi="Times New Roman" w:cs="Times New Roman"/>
          <w:color w:val="000000"/>
          <w:kern w:val="0"/>
          <w14:textOutline w14:w="0" w14:cap="flat" w14:cmpd="sng" w14:algn="ctr">
            <w14:noFill/>
            <w14:prstDash w14:val="solid"/>
            <w14:bevel/>
          </w14:textOutline>
          <w14:ligatures w14:val="none"/>
        </w:rPr>
        <w:t>Weinstein, Jr., P., &amp; Goodman, V. (2021, December). Hidden prices and higher tuition: The case</w:t>
      </w:r>
    </w:p>
    <w:p w14:paraId="3DA2BA5B" w14:textId="77777777" w:rsidR="008F5605" w:rsidRPr="008F5605" w:rsidRDefault="008F5605" w:rsidP="008F5605">
      <w:pPr>
        <w:suppressAutoHyphens/>
        <w:spacing w:after="240" w:line="240" w:lineRule="auto"/>
        <w:ind w:left="720"/>
        <w:rPr>
          <w:rFonts w:ascii="Times New Roman" w:eastAsia="Times Roman" w:hAnsi="Times New Roman" w:cs="Times New Roman"/>
          <w:color w:val="000000"/>
          <w:kern w:val="0"/>
          <w14:textOutline w14:w="0" w14:cap="flat" w14:cmpd="sng" w14:algn="ctr">
            <w14:noFill/>
            <w14:prstDash w14:val="solid"/>
            <w14:bevel/>
          </w14:textOutline>
          <w14:ligatures w14:val="none"/>
        </w:rPr>
      </w:pPr>
      <w:r w:rsidRPr="008F5605">
        <w:rPr>
          <w:rFonts w:ascii="Times New Roman" w:eastAsia="Times Roman" w:hAnsi="Times New Roman" w:cs="Times New Roman"/>
          <w:color w:val="000000"/>
          <w:kern w:val="0"/>
          <w14:textOutline w14:w="0" w14:cap="flat" w14:cmpd="sng" w14:algn="ctr">
            <w14:noFill/>
            <w14:prstDash w14:val="solid"/>
            <w14:bevel/>
          </w14:textOutline>
          <w14:ligatures w14:val="none"/>
        </w:rPr>
        <w:t xml:space="preserve">for transparency in higher education pricing and advanced credit. Progressive Policy Institute. </w:t>
      </w:r>
      <w:hyperlink r:id="rId8" w:history="1">
        <w:r w:rsidRPr="008F5605">
          <w:rPr>
            <w:rFonts w:ascii="Times New Roman" w:eastAsia="Times Roman" w:hAnsi="Times New Roman" w:cs="Times New Roman"/>
            <w:color w:val="000000"/>
            <w:kern w:val="0"/>
            <w:u w:val="single"/>
            <w14:textOutline w14:w="0" w14:cap="flat" w14:cmpd="sng" w14:algn="ctr">
              <w14:noFill/>
              <w14:prstDash w14:val="solid"/>
              <w14:bevel/>
            </w14:textOutline>
            <w14:ligatures w14:val="none"/>
          </w:rPr>
          <w:t>https://files.eric.ed.gov/fulltext/ED619542.pdf</w:t>
        </w:r>
      </w:hyperlink>
    </w:p>
    <w:p w14:paraId="26D41917" w14:textId="77777777" w:rsidR="008F5605" w:rsidRPr="008F5605" w:rsidRDefault="008F5605" w:rsidP="008F5605">
      <w:pPr>
        <w:suppressAutoHyphens/>
        <w:spacing w:after="240" w:line="240" w:lineRule="auto"/>
        <w:rPr>
          <w:rFonts w:ascii="Times New Roman" w:eastAsia="Times Roman" w:hAnsi="Times New Roman" w:cs="Times New Roman"/>
          <w:color w:val="000000"/>
          <w:kern w:val="0"/>
          <w14:textOutline w14:w="0" w14:cap="flat" w14:cmpd="sng" w14:algn="ctr">
            <w14:noFill/>
            <w14:prstDash w14:val="solid"/>
            <w14:bevel/>
          </w14:textOutline>
          <w14:ligatures w14:val="none"/>
        </w:rPr>
      </w:pPr>
    </w:p>
    <w:p w14:paraId="31D34DA4" w14:textId="77777777" w:rsidR="008F5605" w:rsidRPr="008F5605" w:rsidRDefault="008F5605" w:rsidP="008F5605">
      <w:pPr>
        <w:suppressAutoHyphens/>
        <w:spacing w:after="299" w:line="240" w:lineRule="auto"/>
        <w:rPr>
          <w:rFonts w:ascii="Helvetica Neue" w:eastAsia="Arial Unicode MS" w:hAnsi="Helvetica Neue" w:cs="Arial Unicode MS"/>
          <w:color w:val="000000"/>
          <w:kern w:val="0"/>
          <w14:textOutline w14:w="0" w14:cap="flat" w14:cmpd="sng" w14:algn="ctr">
            <w14:noFill/>
            <w14:prstDash w14:val="solid"/>
            <w14:bevel/>
          </w14:textOutline>
          <w14:ligatures w14:val="none"/>
        </w:rPr>
      </w:pPr>
    </w:p>
    <w:p w14:paraId="346AAC7A" w14:textId="77777777" w:rsidR="008A73F3" w:rsidRDefault="008A73F3"/>
    <w:sectPr w:rsidR="008A7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Times Roman">
    <w:altName w:val="Times New Roman"/>
    <w:charset w:val="00"/>
    <w:family w:val="roman"/>
    <w:pitch w:val="default"/>
  </w:font>
  <w:font w:name="Helvetica Neue">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66AD"/>
    <w:multiLevelType w:val="hybridMultilevel"/>
    <w:tmpl w:val="7CEA8C0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3967179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605"/>
    <w:rsid w:val="00462A5C"/>
    <w:rsid w:val="008A73F3"/>
    <w:rsid w:val="008F5605"/>
    <w:rsid w:val="00D64F8E"/>
    <w:rsid w:val="00F8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A8268"/>
  <w15:chartTrackingRefBased/>
  <w15:docId w15:val="{A6206579-05E6-4CA6-BFC3-F86F09463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6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6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6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6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6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6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6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6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605"/>
    <w:rPr>
      <w:rFonts w:eastAsiaTheme="majorEastAsia" w:cstheme="majorBidi"/>
      <w:color w:val="272727" w:themeColor="text1" w:themeTint="D8"/>
    </w:rPr>
  </w:style>
  <w:style w:type="paragraph" w:styleId="Title">
    <w:name w:val="Title"/>
    <w:basedOn w:val="Normal"/>
    <w:next w:val="Normal"/>
    <w:link w:val="TitleChar"/>
    <w:uiPriority w:val="10"/>
    <w:qFormat/>
    <w:rsid w:val="008F5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605"/>
    <w:pPr>
      <w:spacing w:before="160"/>
      <w:jc w:val="center"/>
    </w:pPr>
    <w:rPr>
      <w:i/>
      <w:iCs/>
      <w:color w:val="404040" w:themeColor="text1" w:themeTint="BF"/>
    </w:rPr>
  </w:style>
  <w:style w:type="character" w:customStyle="1" w:styleId="QuoteChar">
    <w:name w:val="Quote Char"/>
    <w:basedOn w:val="DefaultParagraphFont"/>
    <w:link w:val="Quote"/>
    <w:uiPriority w:val="29"/>
    <w:rsid w:val="008F5605"/>
    <w:rPr>
      <w:i/>
      <w:iCs/>
      <w:color w:val="404040" w:themeColor="text1" w:themeTint="BF"/>
    </w:rPr>
  </w:style>
  <w:style w:type="paragraph" w:styleId="ListParagraph">
    <w:name w:val="List Paragraph"/>
    <w:basedOn w:val="Normal"/>
    <w:uiPriority w:val="34"/>
    <w:qFormat/>
    <w:rsid w:val="008F5605"/>
    <w:pPr>
      <w:ind w:left="720"/>
      <w:contextualSpacing/>
    </w:pPr>
  </w:style>
  <w:style w:type="character" w:styleId="IntenseEmphasis">
    <w:name w:val="Intense Emphasis"/>
    <w:basedOn w:val="DefaultParagraphFont"/>
    <w:uiPriority w:val="21"/>
    <w:qFormat/>
    <w:rsid w:val="008F5605"/>
    <w:rPr>
      <w:i/>
      <w:iCs/>
      <w:color w:val="0F4761" w:themeColor="accent1" w:themeShade="BF"/>
    </w:rPr>
  </w:style>
  <w:style w:type="paragraph" w:styleId="IntenseQuote">
    <w:name w:val="Intense Quote"/>
    <w:basedOn w:val="Normal"/>
    <w:next w:val="Normal"/>
    <w:link w:val="IntenseQuoteChar"/>
    <w:uiPriority w:val="30"/>
    <w:qFormat/>
    <w:rsid w:val="008F5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605"/>
    <w:rPr>
      <w:i/>
      <w:iCs/>
      <w:color w:val="0F4761" w:themeColor="accent1" w:themeShade="BF"/>
    </w:rPr>
  </w:style>
  <w:style w:type="character" w:styleId="IntenseReference">
    <w:name w:val="Intense Reference"/>
    <w:basedOn w:val="DefaultParagraphFont"/>
    <w:uiPriority w:val="32"/>
    <w:qFormat/>
    <w:rsid w:val="008F5605"/>
    <w:rPr>
      <w:b/>
      <w:bCs/>
      <w:smallCaps/>
      <w:color w:val="0F4761" w:themeColor="accent1" w:themeShade="BF"/>
      <w:spacing w:val="5"/>
    </w:rPr>
  </w:style>
  <w:style w:type="table" w:styleId="TableGrid">
    <w:name w:val="Table Grid"/>
    <w:basedOn w:val="TableNormal"/>
    <w:uiPriority w:val="39"/>
    <w:rsid w:val="008F5605"/>
    <w:pPr>
      <w:spacing w:after="0" w:line="240" w:lineRule="auto"/>
    </w:pPr>
    <w:rPr>
      <w:rFonts w:ascii="Times New Roman" w:eastAsia="Arial Unicode MS" w:hAnsi="Times New Roman" w:cs="Times New Roman"/>
      <w:kern w:val="0"/>
      <w:sz w:val="20"/>
      <w:szCs w:val="20"/>
      <w:bdr w:val="none" w:sz="0" w:space="0" w:color="auto" w:frame="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s.eric.ed.gov/fulltext/ED619542.pdf" TargetMode="External"/><Relationship Id="rId3" Type="http://schemas.openxmlformats.org/officeDocument/2006/relationships/settings" Target="settings.xml"/><Relationship Id="rId7" Type="http://schemas.openxmlformats.org/officeDocument/2006/relationships/hyperlink" Target="https://eunis.org/download/2014/papers/eunis2014_submission_7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7/978-3-662-45391-9_50" TargetMode="External"/><Relationship Id="rId5" Type="http://schemas.openxmlformats.org/officeDocument/2006/relationships/hyperlink" Target="https://doi.org/10.71364/ijwe.v1i3.1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2929</Words>
  <Characters>17492</Characters>
  <Application>Microsoft Office Word</Application>
  <DocSecurity>0</DocSecurity>
  <Lines>336</Lines>
  <Paragraphs>100</Paragraphs>
  <ScaleCrop>false</ScaleCrop>
  <Company/>
  <LinksUpToDate>false</LinksUpToDate>
  <CharactersWithSpaces>20321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Slothk8 Herrick</dc:creator>
  <cp:keywords/>
  <dc:description/>
  <cp:lastModifiedBy>Slothk8 Herrick</cp:lastModifiedBy>
  <cp:revision>1</cp:revision>
  <dcterms:created xsi:type="dcterms:W3CDTF">2025-11-01T11:30:00Z</dcterms:created>
  <dcterms:modified xsi:type="dcterms:W3CDTF">2025-11-01T11:31:00Z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ed0b71f8-7dce-4138-bd3c-7512f193c6d8</vt:lpwstr>
  </property>
</Properties>
</file>